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3A62" w:rsidRPr="004C3A62" w:rsidRDefault="004C3A62" w:rsidP="004C3A62">
      <w:pPr>
        <w:bidi/>
        <w:spacing w:before="100" w:beforeAutospacing="1" w:after="100" w:afterAutospacing="1" w:line="240" w:lineRule="auto"/>
        <w:jc w:val="center"/>
        <w:rPr>
          <w:rStyle w:val="highlight-text"/>
          <w:rFonts w:cs="B Mitra"/>
          <w:b/>
          <w:bCs/>
          <w:sz w:val="28"/>
          <w:szCs w:val="28"/>
        </w:rPr>
      </w:pPr>
      <w:r w:rsidRPr="004C3A62">
        <w:rPr>
          <w:rStyle w:val="aspnetdisabled"/>
          <w:rFonts w:cs="B Mitra"/>
          <w:b/>
          <w:bCs/>
          <w:sz w:val="28"/>
          <w:szCs w:val="28"/>
          <w:rtl/>
        </w:rPr>
        <w:t xml:space="preserve">دستورالعمل انتشار اوراق بيمه‌ </w:t>
      </w:r>
      <w:r w:rsidRPr="004C3A62">
        <w:rPr>
          <w:rStyle w:val="highlight-text"/>
          <w:rFonts w:cs="B Mitra"/>
          <w:b/>
          <w:bCs/>
          <w:sz w:val="28"/>
          <w:szCs w:val="28"/>
          <w:rtl/>
        </w:rPr>
        <w:t>اتكايي</w:t>
      </w:r>
    </w:p>
    <w:p w:rsidR="004C3A62" w:rsidRPr="004C3A62" w:rsidRDefault="004C3A62" w:rsidP="004C3A62">
      <w:pPr>
        <w:bidi/>
        <w:spacing w:before="100" w:beforeAutospacing="1" w:after="100" w:afterAutospacing="1" w:line="240" w:lineRule="auto"/>
        <w:jc w:val="center"/>
        <w:rPr>
          <w:rFonts w:ascii="Times New Roman" w:eastAsia="Times New Roman" w:hAnsi="Times New Roman" w:cs="B Mitra"/>
          <w:sz w:val="24"/>
          <w:szCs w:val="24"/>
          <w:rtl/>
          <w:lang w:bidi="fa-IR"/>
        </w:rPr>
      </w:pPr>
      <w:r w:rsidRPr="004C3A62">
        <w:rPr>
          <w:rStyle w:val="highlight-text"/>
          <w:rFonts w:cs="B Mitra" w:hint="cs"/>
          <w:sz w:val="24"/>
          <w:szCs w:val="24"/>
          <w:rtl/>
          <w:lang w:bidi="fa-IR"/>
        </w:rPr>
        <w:t>مصوب 21/09/1397 هیئت مدیره سازمان بورس و اوراق بهادار</w:t>
      </w:r>
    </w:p>
    <w:p w:rsidR="004C3A62" w:rsidRPr="004C3A62" w:rsidRDefault="004C3A62" w:rsidP="004C3A62">
      <w:pPr>
        <w:numPr>
          <w:ilvl w:val="0"/>
          <w:numId w:val="1"/>
        </w:numPr>
        <w:tabs>
          <w:tab w:val="clear" w:pos="720"/>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بخش يك - تعاريف</w:t>
      </w:r>
      <w:r w:rsidRPr="004C3A62">
        <w:rPr>
          <w:rFonts w:ascii="Times New Roman" w:eastAsia="Times New Roman" w:hAnsi="Times New Roman" w:cs="B Nazanin"/>
          <w:b/>
          <w:bCs/>
          <w:sz w:val="24"/>
          <w:szCs w:val="24"/>
        </w:rPr>
        <w:t xml:space="preserve">: </w:t>
      </w:r>
    </w:p>
    <w:p w:rsidR="004C3A62" w:rsidRPr="004C3A62" w:rsidRDefault="004C3A62" w:rsidP="00994D82">
      <w:pPr>
        <w:numPr>
          <w:ilvl w:val="1"/>
          <w:numId w:val="1"/>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ماده </w:t>
      </w:r>
      <w:r w:rsidR="00994D82">
        <w:rPr>
          <w:rFonts w:ascii="Times New Roman" w:eastAsia="Times New Roman" w:hAnsi="Times New Roman" w:cs="B Nazanin" w:hint="cs"/>
          <w:b/>
          <w:bCs/>
          <w:sz w:val="24"/>
          <w:szCs w:val="24"/>
          <w:rtl/>
          <w:lang w:bidi="fa-IR"/>
        </w:rPr>
        <w:t>1</w:t>
      </w:r>
      <w:r w:rsidRPr="004C3A62">
        <w:rPr>
          <w:rFonts w:ascii="Times New Roman" w:eastAsia="Times New Roman" w:hAnsi="Times New Roman" w:cs="B Nazanin"/>
          <w:b/>
          <w:bCs/>
          <w:sz w:val="24"/>
          <w:szCs w:val="24"/>
        </w:rPr>
        <w:t xml:space="preserve">: </w:t>
      </w:r>
    </w:p>
    <w:p w:rsidR="004C3A62" w:rsidRPr="004C3A62" w:rsidRDefault="004C3A62" w:rsidP="004C3A62">
      <w:pPr>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 xml:space="preserve">اصطلاحات </w:t>
      </w:r>
      <w:proofErr w:type="gramStart"/>
      <w:r w:rsidRPr="004C3A62">
        <w:rPr>
          <w:rFonts w:ascii="Times New Roman" w:eastAsia="Times New Roman" w:hAnsi="Times New Roman" w:cs="B Nazanin"/>
          <w:sz w:val="24"/>
          <w:szCs w:val="24"/>
          <w:rtl/>
        </w:rPr>
        <w:t>و واژه</w:t>
      </w:r>
      <w:proofErr w:type="gramEnd"/>
      <w:r w:rsidR="00994D82">
        <w:rPr>
          <w:rFonts w:ascii="Times New Roman" w:eastAsia="Times New Roman" w:hAnsi="Times New Roman" w:cs="B Nazanin" w:hint="cs"/>
          <w:sz w:val="24"/>
          <w:szCs w:val="24"/>
          <w:rtl/>
        </w:rPr>
        <w:t xml:space="preserve"> </w:t>
      </w:r>
      <w:r w:rsidRPr="004C3A62">
        <w:rPr>
          <w:rFonts w:ascii="Times New Roman" w:eastAsia="Times New Roman" w:hAnsi="Times New Roman" w:cs="B Nazanin"/>
          <w:sz w:val="24"/>
          <w:szCs w:val="24"/>
          <w:rtl/>
        </w:rPr>
        <w:t>هاي بكار رفته در ماده (1) قانون بازار اوراق بهادار جمهوري اسلامي ايران، مصوب آذر ماه 1384 و ماده (1) قانون توسعه ابزارها و نهادهاي مالي جديد بمنظور تسهيل اجراي سياست‌هاي كلي اصل 44 قانون اساسي مصوب آذر ماه 1388 و قانون بيمه مصوب ارديبهشت ماه 1316 به همان معاني در اين دستورالعمل بكار رفته‌اند. ساير واژه‌هاي بكاررفته در اين دستورالعمل داراي معاني زير مي‌باشند</w:t>
      </w:r>
      <w:r w:rsidRPr="004C3A62">
        <w:rPr>
          <w:rFonts w:ascii="Times New Roman" w:eastAsia="Times New Roman" w:hAnsi="Times New Roman" w:cs="B Nazanin"/>
          <w:sz w:val="24"/>
          <w:szCs w:val="24"/>
        </w:rPr>
        <w:t xml:space="preserve">. </w:t>
      </w:r>
    </w:p>
    <w:p w:rsidR="004C3A62" w:rsidRPr="004C3A62" w:rsidRDefault="004C3A62" w:rsidP="00994D82">
      <w:pPr>
        <w:numPr>
          <w:ilvl w:val="2"/>
          <w:numId w:val="1"/>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بند </w:t>
      </w:r>
      <w:r w:rsidR="00994D82">
        <w:rPr>
          <w:rFonts w:ascii="Times New Roman" w:eastAsia="Times New Roman" w:hAnsi="Times New Roman" w:cs="B Nazanin" w:hint="cs"/>
          <w:b/>
          <w:bCs/>
          <w:sz w:val="24"/>
          <w:szCs w:val="24"/>
          <w:rtl/>
        </w:rPr>
        <w:t>1</w:t>
      </w:r>
      <w:r w:rsidRPr="004C3A62">
        <w:rPr>
          <w:rFonts w:ascii="Times New Roman" w:eastAsia="Times New Roman" w:hAnsi="Times New Roman" w:cs="B Nazanin"/>
          <w:b/>
          <w:bCs/>
          <w:sz w:val="24"/>
          <w:szCs w:val="24"/>
        </w:rPr>
        <w:t xml:space="preserve">: </w:t>
      </w:r>
    </w:p>
    <w:p w:rsidR="004C3A62" w:rsidRPr="004C3A62" w:rsidRDefault="004C3A62" w:rsidP="009D3F94">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اوراق بيمه اتكايي</w:t>
      </w:r>
      <w:r w:rsidRPr="004C3A62">
        <w:rPr>
          <w:rFonts w:ascii="Times New Roman" w:eastAsia="Times New Roman" w:hAnsi="Times New Roman" w:cs="B Nazanin"/>
          <w:sz w:val="24"/>
          <w:szCs w:val="24"/>
        </w:rPr>
        <w:t>:</w:t>
      </w:r>
      <w:r w:rsidR="009D3F94">
        <w:rPr>
          <w:rFonts w:ascii="Times New Roman" w:eastAsia="Times New Roman" w:hAnsi="Times New Roman" w:cs="B Nazanin" w:hint="cs"/>
          <w:sz w:val="24"/>
          <w:szCs w:val="24"/>
          <w:rtl/>
        </w:rPr>
        <w:t xml:space="preserve"> </w:t>
      </w:r>
      <w:r w:rsidRPr="004C3A62">
        <w:rPr>
          <w:rFonts w:ascii="Times New Roman" w:eastAsia="Times New Roman" w:hAnsi="Times New Roman" w:cs="B Nazanin"/>
          <w:sz w:val="24"/>
          <w:szCs w:val="24"/>
          <w:rtl/>
        </w:rPr>
        <w:t xml:space="preserve">اوراق بهادار با نامي است كه نشان دهنده مشاركت دارندگان آن در تأمين سرمايه مورد نياز </w:t>
      </w:r>
      <w:proofErr w:type="gramStart"/>
      <w:r w:rsidRPr="004C3A62">
        <w:rPr>
          <w:rFonts w:ascii="Times New Roman" w:eastAsia="Times New Roman" w:hAnsi="Times New Roman" w:cs="B Nazanin"/>
          <w:sz w:val="24"/>
          <w:szCs w:val="24"/>
          <w:rtl/>
        </w:rPr>
        <w:t>جهت</w:t>
      </w:r>
      <w:proofErr w:type="gramEnd"/>
      <w:r w:rsidRPr="004C3A62">
        <w:rPr>
          <w:rFonts w:ascii="Times New Roman" w:eastAsia="Times New Roman" w:hAnsi="Times New Roman" w:cs="B Nazanin"/>
          <w:sz w:val="24"/>
          <w:szCs w:val="24"/>
          <w:rtl/>
        </w:rPr>
        <w:t xml:space="preserve"> پذيرش تمام يا بخشي از سبد ريسك بيمه اي و عوايد ناشي از آن بوده و قابل معامله در بورس ها يا بازارهاي خارج از بورس است</w:t>
      </w:r>
      <w:r w:rsidRPr="004C3A62">
        <w:rPr>
          <w:rFonts w:ascii="Times New Roman" w:eastAsia="Times New Roman" w:hAnsi="Times New Roman" w:cs="B Nazanin"/>
          <w:sz w:val="24"/>
          <w:szCs w:val="24"/>
        </w:rPr>
        <w:t xml:space="preserve">. </w:t>
      </w:r>
    </w:p>
    <w:p w:rsidR="009D3F94" w:rsidRPr="009D3F94" w:rsidRDefault="004C3A62" w:rsidP="009D3F94">
      <w:pPr>
        <w:numPr>
          <w:ilvl w:val="2"/>
          <w:numId w:val="1"/>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بند </w:t>
      </w:r>
      <w:r w:rsidR="009D3F94">
        <w:rPr>
          <w:rFonts w:ascii="Times New Roman" w:eastAsia="Times New Roman" w:hAnsi="Times New Roman" w:cs="B Nazanin" w:hint="cs"/>
          <w:b/>
          <w:bCs/>
          <w:sz w:val="24"/>
          <w:szCs w:val="24"/>
          <w:rtl/>
        </w:rPr>
        <w:t>2</w:t>
      </w:r>
      <w:r w:rsidRPr="004C3A62">
        <w:rPr>
          <w:rFonts w:ascii="Times New Roman" w:eastAsia="Times New Roman" w:hAnsi="Times New Roman" w:cs="B Nazanin"/>
          <w:b/>
          <w:bCs/>
          <w:sz w:val="24"/>
          <w:szCs w:val="24"/>
        </w:rPr>
        <w:t xml:space="preserve">: </w:t>
      </w:r>
    </w:p>
    <w:p w:rsidR="004C3A62" w:rsidRPr="004C3A62" w:rsidRDefault="004C3A62" w:rsidP="009D3F94">
      <w:pPr>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ريسك بيمه‌اي: مخاطراتي است كه براي آن بيمه نامه مستقيم يا اتكايي صادر مي شود</w:t>
      </w:r>
      <w:r w:rsidRPr="004C3A62">
        <w:rPr>
          <w:rFonts w:ascii="Times New Roman" w:eastAsia="Times New Roman" w:hAnsi="Times New Roman" w:cs="B Nazanin"/>
          <w:sz w:val="24"/>
          <w:szCs w:val="24"/>
        </w:rPr>
        <w:t>.</w:t>
      </w:r>
    </w:p>
    <w:p w:rsidR="004C3A62" w:rsidRPr="004C3A62" w:rsidRDefault="004C3A62" w:rsidP="009D3F94">
      <w:pPr>
        <w:numPr>
          <w:ilvl w:val="2"/>
          <w:numId w:val="1"/>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بند </w:t>
      </w:r>
      <w:r w:rsidR="009D3F94">
        <w:rPr>
          <w:rFonts w:ascii="Times New Roman" w:eastAsia="Times New Roman" w:hAnsi="Times New Roman" w:cs="B Nazanin" w:hint="cs"/>
          <w:b/>
          <w:bCs/>
          <w:sz w:val="24"/>
          <w:szCs w:val="24"/>
          <w:rtl/>
        </w:rPr>
        <w:t>3</w:t>
      </w:r>
      <w:r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 xml:space="preserve">باني: بيمة مركزي جمهوري اسلامي </w:t>
      </w:r>
      <w:proofErr w:type="gramStart"/>
      <w:r w:rsidRPr="004C3A62">
        <w:rPr>
          <w:rFonts w:ascii="Times New Roman" w:eastAsia="Times New Roman" w:hAnsi="Times New Roman" w:cs="B Nazanin"/>
          <w:sz w:val="24"/>
          <w:szCs w:val="24"/>
          <w:rtl/>
        </w:rPr>
        <w:t>ايران</w:t>
      </w:r>
      <w:proofErr w:type="gramEnd"/>
      <w:r w:rsidRPr="004C3A62">
        <w:rPr>
          <w:rFonts w:ascii="Times New Roman" w:eastAsia="Times New Roman" w:hAnsi="Times New Roman" w:cs="B Nazanin"/>
          <w:sz w:val="24"/>
          <w:szCs w:val="24"/>
          <w:rtl/>
        </w:rPr>
        <w:t>، شركت سهامي بيمه ايران يا هر شركت بيمه‌اي مستقيم يا اتكايي داراي مجوز فعاليت از بيمه مركزي است كه نهاد واسط به منظور انتقال تمام يا بخشي از ريسك بيمه اي وي اقدام به انتشار اوراق بيمه اتكايي مي نمايد</w:t>
      </w:r>
      <w:r w:rsidRPr="004C3A62">
        <w:rPr>
          <w:rFonts w:ascii="Times New Roman" w:eastAsia="Times New Roman" w:hAnsi="Times New Roman" w:cs="B Nazanin"/>
          <w:sz w:val="24"/>
          <w:szCs w:val="24"/>
        </w:rPr>
        <w:t xml:space="preserve">. </w:t>
      </w:r>
    </w:p>
    <w:p w:rsidR="004C3A62" w:rsidRPr="004C3A62" w:rsidRDefault="004C3A62" w:rsidP="009D3F94">
      <w:pPr>
        <w:numPr>
          <w:ilvl w:val="2"/>
          <w:numId w:val="1"/>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بند </w:t>
      </w:r>
      <w:r w:rsidR="009D3F94">
        <w:rPr>
          <w:rFonts w:ascii="Times New Roman" w:eastAsia="Times New Roman" w:hAnsi="Times New Roman" w:cs="B Nazanin" w:hint="cs"/>
          <w:b/>
          <w:bCs/>
          <w:sz w:val="24"/>
          <w:szCs w:val="24"/>
          <w:rtl/>
        </w:rPr>
        <w:t>4</w:t>
      </w:r>
      <w:r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ضامن: شخص حقوقي است كه پرداخت كليه مبالغي كه باني ملزم به پرداخت آن به ناشر است را تعهد مي نمايد</w:t>
      </w:r>
      <w:r w:rsidRPr="004C3A62">
        <w:rPr>
          <w:rFonts w:ascii="Times New Roman" w:eastAsia="Times New Roman" w:hAnsi="Times New Roman" w:cs="B Nazanin"/>
          <w:sz w:val="24"/>
          <w:szCs w:val="24"/>
        </w:rPr>
        <w:t xml:space="preserve">. </w:t>
      </w:r>
    </w:p>
    <w:p w:rsidR="004C3A62" w:rsidRPr="004C3A62" w:rsidRDefault="009D3F94" w:rsidP="009D3F94">
      <w:pPr>
        <w:numPr>
          <w:ilvl w:val="2"/>
          <w:numId w:val="1"/>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Pr>
          <w:rFonts w:ascii="Times New Roman" w:eastAsia="Times New Roman" w:hAnsi="Times New Roman" w:cs="B Nazanin"/>
          <w:b/>
          <w:bCs/>
          <w:sz w:val="24"/>
          <w:szCs w:val="24"/>
          <w:rtl/>
        </w:rPr>
        <w:t xml:space="preserve">بند </w:t>
      </w:r>
      <w:r>
        <w:rPr>
          <w:rFonts w:ascii="Times New Roman" w:eastAsia="Times New Roman" w:hAnsi="Times New Roman" w:cs="B Nazanin" w:hint="cs"/>
          <w:b/>
          <w:bCs/>
          <w:sz w:val="24"/>
          <w:szCs w:val="24"/>
          <w:rtl/>
        </w:rPr>
        <w:t>5</w:t>
      </w:r>
      <w:r w:rsidR="004C3A62"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 xml:space="preserve">عامل فروش: شخص حقوقي است كه نسبت به عرضه </w:t>
      </w:r>
      <w:proofErr w:type="gramStart"/>
      <w:r w:rsidRPr="004C3A62">
        <w:rPr>
          <w:rFonts w:ascii="Times New Roman" w:eastAsia="Times New Roman" w:hAnsi="Times New Roman" w:cs="B Nazanin"/>
          <w:sz w:val="24"/>
          <w:szCs w:val="24"/>
          <w:rtl/>
        </w:rPr>
        <w:t>و فروش</w:t>
      </w:r>
      <w:proofErr w:type="gramEnd"/>
      <w:r w:rsidRPr="004C3A62">
        <w:rPr>
          <w:rFonts w:ascii="Times New Roman" w:eastAsia="Times New Roman" w:hAnsi="Times New Roman" w:cs="B Nazanin"/>
          <w:sz w:val="24"/>
          <w:szCs w:val="24"/>
          <w:rtl/>
        </w:rPr>
        <w:t xml:space="preserve"> اوراق بيمه اتكايي از طرف نهاد واسط اقدام مي‌نمايد</w:t>
      </w:r>
      <w:r w:rsidRPr="004C3A62">
        <w:rPr>
          <w:rFonts w:ascii="Times New Roman" w:eastAsia="Times New Roman" w:hAnsi="Times New Roman" w:cs="B Nazanin"/>
          <w:sz w:val="24"/>
          <w:szCs w:val="24"/>
        </w:rPr>
        <w:t xml:space="preserve">. </w:t>
      </w:r>
    </w:p>
    <w:p w:rsidR="004C3A62" w:rsidRPr="004C3A62" w:rsidRDefault="004C3A62" w:rsidP="009D3F94">
      <w:pPr>
        <w:numPr>
          <w:ilvl w:val="2"/>
          <w:numId w:val="1"/>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بند </w:t>
      </w:r>
      <w:r w:rsidR="009D3F94">
        <w:rPr>
          <w:rFonts w:ascii="Times New Roman" w:eastAsia="Times New Roman" w:hAnsi="Times New Roman" w:cs="B Nazanin" w:hint="cs"/>
          <w:b/>
          <w:bCs/>
          <w:sz w:val="24"/>
          <w:szCs w:val="24"/>
          <w:rtl/>
        </w:rPr>
        <w:t>6</w:t>
      </w:r>
      <w:r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 xml:space="preserve">عامل پرداخت: شركت سپرده‌گذاري مركزي اوراق بهادار </w:t>
      </w:r>
      <w:proofErr w:type="gramStart"/>
      <w:r w:rsidRPr="004C3A62">
        <w:rPr>
          <w:rFonts w:ascii="Times New Roman" w:eastAsia="Times New Roman" w:hAnsi="Times New Roman" w:cs="B Nazanin"/>
          <w:sz w:val="24"/>
          <w:szCs w:val="24"/>
          <w:rtl/>
        </w:rPr>
        <w:t>و تسويه</w:t>
      </w:r>
      <w:proofErr w:type="gramEnd"/>
      <w:r w:rsidRPr="004C3A62">
        <w:rPr>
          <w:rFonts w:ascii="Times New Roman" w:eastAsia="Times New Roman" w:hAnsi="Times New Roman" w:cs="B Nazanin"/>
          <w:sz w:val="24"/>
          <w:szCs w:val="24"/>
          <w:rtl/>
        </w:rPr>
        <w:t xml:space="preserve"> وجوه است كه نسبت به پرداخت‌هاي مرتبط با اوراق بيمة اتكايي در مواعد مقرر به سرمايه گذاران اقدام مي‌نمايد</w:t>
      </w:r>
      <w:r w:rsidRPr="004C3A62">
        <w:rPr>
          <w:rFonts w:ascii="Times New Roman" w:eastAsia="Times New Roman" w:hAnsi="Times New Roman" w:cs="B Nazanin"/>
          <w:sz w:val="24"/>
          <w:szCs w:val="24"/>
        </w:rPr>
        <w:t xml:space="preserve">. </w:t>
      </w:r>
    </w:p>
    <w:p w:rsidR="004C3A62" w:rsidRPr="004C3A62" w:rsidRDefault="004C3A62" w:rsidP="009D3F94">
      <w:pPr>
        <w:numPr>
          <w:ilvl w:val="2"/>
          <w:numId w:val="1"/>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lastRenderedPageBreak/>
        <w:t xml:space="preserve">بند </w:t>
      </w:r>
      <w:r w:rsidR="009D3F94">
        <w:rPr>
          <w:rFonts w:ascii="Times New Roman" w:eastAsia="Times New Roman" w:hAnsi="Times New Roman" w:cs="B Nazanin" w:hint="cs"/>
          <w:b/>
          <w:bCs/>
          <w:sz w:val="24"/>
          <w:szCs w:val="24"/>
          <w:rtl/>
        </w:rPr>
        <w:t>7</w:t>
      </w:r>
      <w:r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 xml:space="preserve">امين: موسسه حسابرسي معتمد سازمان </w:t>
      </w:r>
      <w:proofErr w:type="gramStart"/>
      <w:r w:rsidRPr="004C3A62">
        <w:rPr>
          <w:rFonts w:ascii="Times New Roman" w:eastAsia="Times New Roman" w:hAnsi="Times New Roman" w:cs="B Nazanin"/>
          <w:sz w:val="24"/>
          <w:szCs w:val="24"/>
          <w:rtl/>
        </w:rPr>
        <w:t>و بيمه</w:t>
      </w:r>
      <w:proofErr w:type="gramEnd"/>
      <w:r w:rsidRPr="004C3A62">
        <w:rPr>
          <w:rFonts w:ascii="Times New Roman" w:eastAsia="Times New Roman" w:hAnsi="Times New Roman" w:cs="B Nazanin"/>
          <w:sz w:val="24"/>
          <w:szCs w:val="24"/>
          <w:rtl/>
        </w:rPr>
        <w:t xml:space="preserve"> مركزي جمهوري اسلامي ايران است كه به منظور حفظ منافع دارندگان اوراق و حصول اطمينان از انجام صحيح عمليات در مواردي از جمله نحوه ذخيره گيري، نحوه پذيرش، نگهداري ريسك ها و پوشش هاي اتكايي، عمليات سرمايه گذاري، صحت ارزيابي خسارت ها و ساير ‌عمليات رسيدگي ‌و اظهارنظر مي‌نمايد</w:t>
      </w:r>
      <w:r w:rsidRPr="004C3A62">
        <w:rPr>
          <w:rFonts w:ascii="Times New Roman" w:eastAsia="Times New Roman" w:hAnsi="Times New Roman" w:cs="B Nazanin"/>
          <w:sz w:val="24"/>
          <w:szCs w:val="24"/>
        </w:rPr>
        <w:t>.</w:t>
      </w:r>
    </w:p>
    <w:p w:rsidR="004C3A62" w:rsidRPr="004C3A62" w:rsidRDefault="004C3A62" w:rsidP="009D3F94">
      <w:pPr>
        <w:numPr>
          <w:ilvl w:val="2"/>
          <w:numId w:val="1"/>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بند </w:t>
      </w:r>
      <w:r w:rsidR="009D3F94">
        <w:rPr>
          <w:rFonts w:ascii="Times New Roman" w:eastAsia="Times New Roman" w:hAnsi="Times New Roman" w:cs="B Nazanin" w:hint="cs"/>
          <w:b/>
          <w:bCs/>
          <w:sz w:val="24"/>
          <w:szCs w:val="24"/>
          <w:rtl/>
        </w:rPr>
        <w:t>8</w:t>
      </w:r>
      <w:r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 xml:space="preserve">نهاد واسط: منظور نهاد مالي موضوع بند "د" ماده (1) قانون توسعه ابزارها </w:t>
      </w:r>
      <w:proofErr w:type="gramStart"/>
      <w:r w:rsidRPr="004C3A62">
        <w:rPr>
          <w:rFonts w:ascii="Times New Roman" w:eastAsia="Times New Roman" w:hAnsi="Times New Roman" w:cs="B Nazanin"/>
          <w:sz w:val="24"/>
          <w:szCs w:val="24"/>
          <w:rtl/>
        </w:rPr>
        <w:t>و نهادهاي</w:t>
      </w:r>
      <w:proofErr w:type="gramEnd"/>
      <w:r w:rsidRPr="004C3A62">
        <w:rPr>
          <w:rFonts w:ascii="Times New Roman" w:eastAsia="Times New Roman" w:hAnsi="Times New Roman" w:cs="B Nazanin"/>
          <w:sz w:val="24"/>
          <w:szCs w:val="24"/>
          <w:rtl/>
        </w:rPr>
        <w:t xml:space="preserve"> مالي جديد است</w:t>
      </w:r>
      <w:r w:rsidRPr="004C3A62">
        <w:rPr>
          <w:rFonts w:ascii="Times New Roman" w:eastAsia="Times New Roman" w:hAnsi="Times New Roman" w:cs="B Nazanin"/>
          <w:sz w:val="24"/>
          <w:szCs w:val="24"/>
        </w:rPr>
        <w:t>.</w:t>
      </w:r>
    </w:p>
    <w:p w:rsidR="004C3A62" w:rsidRPr="004C3A62" w:rsidRDefault="004C3A62" w:rsidP="004C3A62">
      <w:pPr>
        <w:numPr>
          <w:ilvl w:val="0"/>
          <w:numId w:val="2"/>
        </w:numPr>
        <w:tabs>
          <w:tab w:val="clear" w:pos="720"/>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بخش دو - اركان اوراق بيمه اتكايي </w:t>
      </w:r>
      <w:proofErr w:type="gramStart"/>
      <w:r w:rsidRPr="004C3A62">
        <w:rPr>
          <w:rFonts w:ascii="Times New Roman" w:eastAsia="Times New Roman" w:hAnsi="Times New Roman" w:cs="B Nazanin"/>
          <w:b/>
          <w:bCs/>
          <w:sz w:val="24"/>
          <w:szCs w:val="24"/>
          <w:rtl/>
        </w:rPr>
        <w:t>و تكاليف</w:t>
      </w:r>
      <w:proofErr w:type="gramEnd"/>
      <w:r w:rsidRPr="004C3A62">
        <w:rPr>
          <w:rFonts w:ascii="Times New Roman" w:eastAsia="Times New Roman" w:hAnsi="Times New Roman" w:cs="B Nazanin"/>
          <w:b/>
          <w:bCs/>
          <w:sz w:val="24"/>
          <w:szCs w:val="24"/>
          <w:rtl/>
        </w:rPr>
        <w:t xml:space="preserve"> و شرايط آن ها</w:t>
      </w:r>
      <w:r w:rsidRPr="004C3A62">
        <w:rPr>
          <w:rFonts w:ascii="Times New Roman" w:eastAsia="Times New Roman" w:hAnsi="Times New Roman" w:cs="B Nazanin"/>
          <w:b/>
          <w:bCs/>
          <w:sz w:val="24"/>
          <w:szCs w:val="24"/>
        </w:rPr>
        <w:t xml:space="preserve">: </w:t>
      </w:r>
    </w:p>
    <w:p w:rsidR="009D3F94" w:rsidRPr="009D3F94" w:rsidRDefault="004C3A62" w:rsidP="009D3F94">
      <w:pPr>
        <w:numPr>
          <w:ilvl w:val="1"/>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ماده </w:t>
      </w:r>
      <w:r w:rsidR="009D3F94">
        <w:rPr>
          <w:rFonts w:ascii="Times New Roman" w:eastAsia="Times New Roman" w:hAnsi="Times New Roman" w:cs="B Nazanin" w:hint="cs"/>
          <w:b/>
          <w:bCs/>
          <w:sz w:val="24"/>
          <w:szCs w:val="24"/>
          <w:rtl/>
        </w:rPr>
        <w:t>2</w:t>
      </w:r>
      <w:r w:rsidRPr="004C3A62">
        <w:rPr>
          <w:rFonts w:ascii="Times New Roman" w:eastAsia="Times New Roman" w:hAnsi="Times New Roman" w:cs="B Nazanin"/>
          <w:b/>
          <w:bCs/>
          <w:sz w:val="24"/>
          <w:szCs w:val="24"/>
        </w:rPr>
        <w:t xml:space="preserve">: </w:t>
      </w:r>
    </w:p>
    <w:p w:rsidR="009D3F94" w:rsidRDefault="004C3A62" w:rsidP="009D3F94">
      <w:pPr>
        <w:bidi/>
        <w:spacing w:before="100" w:beforeAutospacing="1" w:after="100" w:afterAutospacing="1" w:line="240" w:lineRule="auto"/>
        <w:ind w:left="-360"/>
        <w:jc w:val="lowKashida"/>
        <w:rPr>
          <w:rFonts w:ascii="Times New Roman" w:eastAsia="Times New Roman" w:hAnsi="Times New Roman" w:cs="B Nazanin"/>
          <w:sz w:val="24"/>
          <w:szCs w:val="24"/>
          <w:rtl/>
        </w:rPr>
      </w:pPr>
      <w:r w:rsidRPr="004C3A62">
        <w:rPr>
          <w:rFonts w:ascii="Times New Roman" w:eastAsia="Times New Roman" w:hAnsi="Times New Roman" w:cs="B Nazanin"/>
          <w:sz w:val="24"/>
          <w:szCs w:val="24"/>
          <w:rtl/>
        </w:rPr>
        <w:t>اركان انتشار اوراق بيمه اتكايي عبارتند از</w:t>
      </w:r>
      <w:r w:rsidRPr="004C3A62">
        <w:rPr>
          <w:rFonts w:ascii="Times New Roman" w:eastAsia="Times New Roman" w:hAnsi="Times New Roman" w:cs="B Nazanin"/>
          <w:sz w:val="24"/>
          <w:szCs w:val="24"/>
        </w:rPr>
        <w:t>:</w:t>
      </w:r>
    </w:p>
    <w:p w:rsidR="009D3F94" w:rsidRDefault="004C3A62" w:rsidP="009D3F94">
      <w:pPr>
        <w:bidi/>
        <w:spacing w:before="100" w:beforeAutospacing="1" w:after="100" w:afterAutospacing="1" w:line="240" w:lineRule="auto"/>
        <w:ind w:left="-360"/>
        <w:jc w:val="lowKashida"/>
        <w:rPr>
          <w:rFonts w:ascii="Times New Roman" w:eastAsia="Times New Roman" w:hAnsi="Times New Roman" w:cs="B Nazanin"/>
          <w:sz w:val="24"/>
          <w:szCs w:val="24"/>
          <w:rtl/>
        </w:rPr>
      </w:pPr>
      <w:r w:rsidRPr="004C3A62">
        <w:rPr>
          <w:rFonts w:ascii="Times New Roman" w:eastAsia="Times New Roman" w:hAnsi="Times New Roman" w:cs="B Nazanin"/>
          <w:sz w:val="24"/>
          <w:szCs w:val="24"/>
          <w:rtl/>
        </w:rPr>
        <w:t>‌أ</w:t>
      </w:r>
      <w:r w:rsidR="009D3F94">
        <w:rPr>
          <w:rFonts w:ascii="Times New Roman" w:eastAsia="Times New Roman" w:hAnsi="Times New Roman" w:cs="B Nazanin" w:hint="cs"/>
          <w:sz w:val="24"/>
          <w:szCs w:val="24"/>
          <w:rtl/>
        </w:rPr>
        <w:t>)</w:t>
      </w:r>
      <w:r w:rsidRPr="004C3A62">
        <w:rPr>
          <w:rFonts w:ascii="Times New Roman" w:eastAsia="Times New Roman" w:hAnsi="Times New Roman" w:cs="B Nazanin"/>
          <w:sz w:val="24"/>
          <w:szCs w:val="24"/>
        </w:rPr>
        <w:t xml:space="preserve"> </w:t>
      </w:r>
      <w:r w:rsidRPr="004C3A62">
        <w:rPr>
          <w:rFonts w:ascii="Times New Roman" w:eastAsia="Times New Roman" w:hAnsi="Times New Roman" w:cs="B Nazanin"/>
          <w:sz w:val="24"/>
          <w:szCs w:val="24"/>
          <w:rtl/>
        </w:rPr>
        <w:t xml:space="preserve">ناشر </w:t>
      </w:r>
    </w:p>
    <w:p w:rsidR="009D3F94" w:rsidRDefault="004C3A62" w:rsidP="009D3F94">
      <w:pPr>
        <w:bidi/>
        <w:spacing w:before="100" w:beforeAutospacing="1" w:after="100" w:afterAutospacing="1" w:line="240" w:lineRule="auto"/>
        <w:ind w:left="-360"/>
        <w:jc w:val="lowKashida"/>
        <w:rPr>
          <w:rFonts w:ascii="Times New Roman" w:eastAsia="Times New Roman" w:hAnsi="Times New Roman" w:cs="B Nazanin"/>
          <w:sz w:val="24"/>
          <w:szCs w:val="24"/>
          <w:rtl/>
        </w:rPr>
      </w:pPr>
      <w:r w:rsidRPr="004C3A62">
        <w:rPr>
          <w:rFonts w:ascii="Times New Roman" w:eastAsia="Times New Roman" w:hAnsi="Times New Roman" w:cs="B Nazanin"/>
          <w:sz w:val="24"/>
          <w:szCs w:val="24"/>
          <w:rtl/>
        </w:rPr>
        <w:t>‌ب</w:t>
      </w:r>
      <w:r w:rsidR="009D3F94">
        <w:rPr>
          <w:rFonts w:ascii="Times New Roman" w:eastAsia="Times New Roman" w:hAnsi="Times New Roman" w:cs="B Nazanin" w:hint="cs"/>
          <w:sz w:val="24"/>
          <w:szCs w:val="24"/>
          <w:rtl/>
        </w:rPr>
        <w:t>)</w:t>
      </w:r>
      <w:r w:rsidRPr="004C3A62">
        <w:rPr>
          <w:rFonts w:ascii="Times New Roman" w:eastAsia="Times New Roman" w:hAnsi="Times New Roman" w:cs="B Nazanin"/>
          <w:sz w:val="24"/>
          <w:szCs w:val="24"/>
        </w:rPr>
        <w:t xml:space="preserve"> </w:t>
      </w:r>
      <w:r w:rsidRPr="004C3A62">
        <w:rPr>
          <w:rFonts w:ascii="Times New Roman" w:eastAsia="Times New Roman" w:hAnsi="Times New Roman" w:cs="B Nazanin"/>
          <w:sz w:val="24"/>
          <w:szCs w:val="24"/>
          <w:rtl/>
        </w:rPr>
        <w:t>باني</w:t>
      </w:r>
    </w:p>
    <w:p w:rsidR="009D3F94" w:rsidRDefault="004C3A62" w:rsidP="009D3F94">
      <w:pPr>
        <w:bidi/>
        <w:spacing w:before="100" w:beforeAutospacing="1" w:after="100" w:afterAutospacing="1" w:line="240" w:lineRule="auto"/>
        <w:ind w:left="-360"/>
        <w:jc w:val="lowKashida"/>
        <w:rPr>
          <w:rFonts w:ascii="Times New Roman" w:eastAsia="Times New Roman" w:hAnsi="Times New Roman" w:cs="B Nazanin"/>
          <w:sz w:val="24"/>
          <w:szCs w:val="24"/>
          <w:rtl/>
        </w:rPr>
      </w:pPr>
      <w:r w:rsidRPr="004C3A62">
        <w:rPr>
          <w:rFonts w:ascii="Times New Roman" w:eastAsia="Times New Roman" w:hAnsi="Times New Roman" w:cs="B Nazanin"/>
          <w:sz w:val="24"/>
          <w:szCs w:val="24"/>
          <w:rtl/>
        </w:rPr>
        <w:t>‌ج</w:t>
      </w:r>
      <w:r w:rsidR="009D3F94">
        <w:rPr>
          <w:rFonts w:ascii="Times New Roman" w:eastAsia="Times New Roman" w:hAnsi="Times New Roman" w:cs="B Nazanin" w:hint="cs"/>
          <w:sz w:val="24"/>
          <w:szCs w:val="24"/>
          <w:rtl/>
        </w:rPr>
        <w:t>)</w:t>
      </w:r>
      <w:r w:rsidRPr="004C3A62">
        <w:rPr>
          <w:rFonts w:ascii="Times New Roman" w:eastAsia="Times New Roman" w:hAnsi="Times New Roman" w:cs="B Nazanin"/>
          <w:sz w:val="24"/>
          <w:szCs w:val="24"/>
        </w:rPr>
        <w:t xml:space="preserve"> </w:t>
      </w:r>
      <w:r w:rsidRPr="004C3A62">
        <w:rPr>
          <w:rFonts w:ascii="Times New Roman" w:eastAsia="Times New Roman" w:hAnsi="Times New Roman" w:cs="B Nazanin"/>
          <w:sz w:val="24"/>
          <w:szCs w:val="24"/>
          <w:rtl/>
        </w:rPr>
        <w:t>ضامن</w:t>
      </w:r>
    </w:p>
    <w:p w:rsidR="009D3F94" w:rsidRDefault="004C3A62" w:rsidP="009D3F94">
      <w:pPr>
        <w:bidi/>
        <w:spacing w:before="100" w:beforeAutospacing="1" w:after="100" w:afterAutospacing="1" w:line="240" w:lineRule="auto"/>
        <w:ind w:left="-360"/>
        <w:jc w:val="lowKashida"/>
        <w:rPr>
          <w:rFonts w:ascii="Times New Roman" w:eastAsia="Times New Roman" w:hAnsi="Times New Roman" w:cs="B Nazanin"/>
          <w:sz w:val="24"/>
          <w:szCs w:val="24"/>
          <w:rtl/>
        </w:rPr>
      </w:pPr>
      <w:r w:rsidRPr="004C3A62">
        <w:rPr>
          <w:rFonts w:ascii="Times New Roman" w:eastAsia="Times New Roman" w:hAnsi="Times New Roman" w:cs="B Nazanin"/>
          <w:sz w:val="24"/>
          <w:szCs w:val="24"/>
          <w:rtl/>
        </w:rPr>
        <w:t>‌د</w:t>
      </w:r>
      <w:r w:rsidR="009D3F94">
        <w:rPr>
          <w:rFonts w:ascii="Times New Roman" w:eastAsia="Times New Roman" w:hAnsi="Times New Roman" w:cs="B Nazanin" w:hint="cs"/>
          <w:sz w:val="24"/>
          <w:szCs w:val="24"/>
          <w:rtl/>
        </w:rPr>
        <w:t>)</w:t>
      </w:r>
      <w:r w:rsidRPr="004C3A62">
        <w:rPr>
          <w:rFonts w:ascii="Times New Roman" w:eastAsia="Times New Roman" w:hAnsi="Times New Roman" w:cs="B Nazanin"/>
          <w:sz w:val="24"/>
          <w:szCs w:val="24"/>
        </w:rPr>
        <w:t xml:space="preserve"> </w:t>
      </w:r>
      <w:r w:rsidRPr="004C3A62">
        <w:rPr>
          <w:rFonts w:ascii="Times New Roman" w:eastAsia="Times New Roman" w:hAnsi="Times New Roman" w:cs="B Nazanin"/>
          <w:sz w:val="24"/>
          <w:szCs w:val="24"/>
          <w:rtl/>
        </w:rPr>
        <w:t>متعهد پذيره‌نويسي</w:t>
      </w:r>
    </w:p>
    <w:p w:rsidR="009D3F94" w:rsidRDefault="004C3A62" w:rsidP="009D3F94">
      <w:pPr>
        <w:bidi/>
        <w:spacing w:before="100" w:beforeAutospacing="1" w:after="100" w:afterAutospacing="1" w:line="240" w:lineRule="auto"/>
        <w:ind w:left="-360"/>
        <w:jc w:val="lowKashida"/>
        <w:rPr>
          <w:rFonts w:ascii="Times New Roman" w:eastAsia="Times New Roman" w:hAnsi="Times New Roman" w:cs="B Nazanin"/>
          <w:sz w:val="24"/>
          <w:szCs w:val="24"/>
          <w:rtl/>
        </w:rPr>
      </w:pPr>
      <w:r w:rsidRPr="004C3A62">
        <w:rPr>
          <w:rFonts w:ascii="Times New Roman" w:eastAsia="Times New Roman" w:hAnsi="Times New Roman" w:cs="B Nazanin"/>
          <w:sz w:val="24"/>
          <w:szCs w:val="24"/>
          <w:rtl/>
        </w:rPr>
        <w:t>‌ه</w:t>
      </w:r>
      <w:r w:rsidR="009D3F94">
        <w:rPr>
          <w:rFonts w:ascii="Times New Roman" w:eastAsia="Times New Roman" w:hAnsi="Times New Roman" w:cs="B Nazanin" w:hint="cs"/>
          <w:sz w:val="24"/>
          <w:szCs w:val="24"/>
          <w:rtl/>
        </w:rPr>
        <w:t>)</w:t>
      </w:r>
      <w:r w:rsidRPr="004C3A62">
        <w:rPr>
          <w:rFonts w:ascii="Times New Roman" w:eastAsia="Times New Roman" w:hAnsi="Times New Roman" w:cs="B Nazanin"/>
          <w:sz w:val="24"/>
          <w:szCs w:val="24"/>
        </w:rPr>
        <w:t xml:space="preserve"> </w:t>
      </w:r>
      <w:r w:rsidRPr="004C3A62">
        <w:rPr>
          <w:rFonts w:ascii="Times New Roman" w:eastAsia="Times New Roman" w:hAnsi="Times New Roman" w:cs="B Nazanin"/>
          <w:sz w:val="24"/>
          <w:szCs w:val="24"/>
          <w:rtl/>
        </w:rPr>
        <w:t>بازارگردان</w:t>
      </w:r>
    </w:p>
    <w:p w:rsidR="009D3F94" w:rsidRDefault="004C3A62" w:rsidP="009D3F94">
      <w:pPr>
        <w:bidi/>
        <w:spacing w:before="100" w:beforeAutospacing="1" w:after="100" w:afterAutospacing="1" w:line="240" w:lineRule="auto"/>
        <w:ind w:left="-360"/>
        <w:jc w:val="lowKashida"/>
        <w:rPr>
          <w:rFonts w:ascii="Times New Roman" w:eastAsia="Times New Roman" w:hAnsi="Times New Roman" w:cs="B Nazanin"/>
          <w:sz w:val="24"/>
          <w:szCs w:val="24"/>
          <w:rtl/>
        </w:rPr>
      </w:pPr>
      <w:r w:rsidRPr="004C3A62">
        <w:rPr>
          <w:rFonts w:ascii="Times New Roman" w:eastAsia="Times New Roman" w:hAnsi="Times New Roman" w:cs="B Nazanin"/>
          <w:sz w:val="24"/>
          <w:szCs w:val="24"/>
          <w:rtl/>
        </w:rPr>
        <w:t>‌و</w:t>
      </w:r>
      <w:r w:rsidR="009D3F94">
        <w:rPr>
          <w:rFonts w:ascii="Times New Roman" w:eastAsia="Times New Roman" w:hAnsi="Times New Roman" w:cs="B Nazanin" w:hint="cs"/>
          <w:sz w:val="24"/>
          <w:szCs w:val="24"/>
          <w:rtl/>
        </w:rPr>
        <w:t>)</w:t>
      </w:r>
      <w:r w:rsidRPr="004C3A62">
        <w:rPr>
          <w:rFonts w:ascii="Times New Roman" w:eastAsia="Times New Roman" w:hAnsi="Times New Roman" w:cs="B Nazanin"/>
          <w:sz w:val="24"/>
          <w:szCs w:val="24"/>
        </w:rPr>
        <w:t xml:space="preserve"> </w:t>
      </w:r>
      <w:r w:rsidRPr="004C3A62">
        <w:rPr>
          <w:rFonts w:ascii="Times New Roman" w:eastAsia="Times New Roman" w:hAnsi="Times New Roman" w:cs="B Nazanin"/>
          <w:sz w:val="24"/>
          <w:szCs w:val="24"/>
          <w:rtl/>
        </w:rPr>
        <w:t>عامل فروش</w:t>
      </w:r>
    </w:p>
    <w:p w:rsidR="009D3F94" w:rsidRDefault="004C3A62" w:rsidP="009D3F94">
      <w:pPr>
        <w:bidi/>
        <w:spacing w:before="100" w:beforeAutospacing="1" w:after="100" w:afterAutospacing="1" w:line="240" w:lineRule="auto"/>
        <w:ind w:left="-360"/>
        <w:jc w:val="lowKashida"/>
        <w:rPr>
          <w:rFonts w:ascii="Times New Roman" w:eastAsia="Times New Roman" w:hAnsi="Times New Roman" w:cs="B Nazanin"/>
          <w:sz w:val="24"/>
          <w:szCs w:val="24"/>
          <w:rtl/>
        </w:rPr>
      </w:pPr>
      <w:r w:rsidRPr="004C3A62">
        <w:rPr>
          <w:rFonts w:ascii="Times New Roman" w:eastAsia="Times New Roman" w:hAnsi="Times New Roman" w:cs="B Nazanin"/>
          <w:sz w:val="24"/>
          <w:szCs w:val="24"/>
          <w:rtl/>
        </w:rPr>
        <w:t>‌ز</w:t>
      </w:r>
      <w:r w:rsidR="009D3F94">
        <w:rPr>
          <w:rFonts w:ascii="Times New Roman" w:eastAsia="Times New Roman" w:hAnsi="Times New Roman" w:cs="B Nazanin" w:hint="cs"/>
          <w:sz w:val="24"/>
          <w:szCs w:val="24"/>
          <w:rtl/>
        </w:rPr>
        <w:t>)</w:t>
      </w:r>
      <w:r w:rsidRPr="004C3A62">
        <w:rPr>
          <w:rFonts w:ascii="Times New Roman" w:eastAsia="Times New Roman" w:hAnsi="Times New Roman" w:cs="B Nazanin"/>
          <w:sz w:val="24"/>
          <w:szCs w:val="24"/>
        </w:rPr>
        <w:t xml:space="preserve"> </w:t>
      </w:r>
      <w:r w:rsidRPr="004C3A62">
        <w:rPr>
          <w:rFonts w:ascii="Times New Roman" w:eastAsia="Times New Roman" w:hAnsi="Times New Roman" w:cs="B Nazanin"/>
          <w:sz w:val="24"/>
          <w:szCs w:val="24"/>
          <w:rtl/>
        </w:rPr>
        <w:t>عامل پرداخت</w:t>
      </w:r>
    </w:p>
    <w:p w:rsidR="004C3A62" w:rsidRDefault="004C3A62" w:rsidP="009D3F94">
      <w:pPr>
        <w:bidi/>
        <w:spacing w:before="100" w:beforeAutospacing="1" w:after="100" w:afterAutospacing="1" w:line="240" w:lineRule="auto"/>
        <w:ind w:left="-360"/>
        <w:jc w:val="lowKashida"/>
        <w:rPr>
          <w:rFonts w:ascii="Times New Roman" w:eastAsia="Times New Roman" w:hAnsi="Times New Roman" w:cs="B Nazanin"/>
          <w:sz w:val="24"/>
          <w:szCs w:val="24"/>
          <w:rtl/>
        </w:rPr>
      </w:pPr>
      <w:r w:rsidRPr="004C3A62">
        <w:rPr>
          <w:rFonts w:ascii="Times New Roman" w:eastAsia="Times New Roman" w:hAnsi="Times New Roman" w:cs="B Nazanin"/>
          <w:sz w:val="24"/>
          <w:szCs w:val="24"/>
          <w:rtl/>
        </w:rPr>
        <w:t>‌ح</w:t>
      </w:r>
      <w:r w:rsidR="009D3F94">
        <w:rPr>
          <w:rFonts w:ascii="Times New Roman" w:eastAsia="Times New Roman" w:hAnsi="Times New Roman" w:cs="B Nazanin" w:hint="cs"/>
          <w:sz w:val="24"/>
          <w:szCs w:val="24"/>
          <w:rtl/>
        </w:rPr>
        <w:t>)</w:t>
      </w:r>
      <w:r w:rsidRPr="004C3A62">
        <w:rPr>
          <w:rFonts w:ascii="Times New Roman" w:eastAsia="Times New Roman" w:hAnsi="Times New Roman" w:cs="B Nazanin"/>
          <w:sz w:val="24"/>
          <w:szCs w:val="24"/>
        </w:rPr>
        <w:t xml:space="preserve"> </w:t>
      </w:r>
      <w:r w:rsidRPr="004C3A62">
        <w:rPr>
          <w:rFonts w:ascii="Times New Roman" w:eastAsia="Times New Roman" w:hAnsi="Times New Roman" w:cs="B Nazanin"/>
          <w:sz w:val="24"/>
          <w:szCs w:val="24"/>
          <w:rtl/>
        </w:rPr>
        <w:t>امين</w:t>
      </w:r>
    </w:p>
    <w:p w:rsidR="009D3F94" w:rsidRPr="009D3F94" w:rsidRDefault="004C3A62" w:rsidP="009D3F94">
      <w:pPr>
        <w:numPr>
          <w:ilvl w:val="1"/>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ماده </w:t>
      </w:r>
      <w:r w:rsidR="009D3F94">
        <w:rPr>
          <w:rFonts w:ascii="Times New Roman" w:eastAsia="Times New Roman" w:hAnsi="Times New Roman" w:cs="B Nazanin" w:hint="cs"/>
          <w:b/>
          <w:bCs/>
          <w:sz w:val="24"/>
          <w:szCs w:val="24"/>
          <w:rtl/>
        </w:rPr>
        <w:t>3</w:t>
      </w:r>
      <w:r w:rsidRPr="004C3A62">
        <w:rPr>
          <w:rFonts w:ascii="Times New Roman" w:eastAsia="Times New Roman" w:hAnsi="Times New Roman" w:cs="B Nazanin"/>
          <w:b/>
          <w:bCs/>
          <w:sz w:val="24"/>
          <w:szCs w:val="24"/>
        </w:rPr>
        <w:t xml:space="preserve">: </w:t>
      </w:r>
    </w:p>
    <w:p w:rsidR="004C3A62" w:rsidRDefault="004C3A62" w:rsidP="009D3F94">
      <w:pPr>
        <w:bidi/>
        <w:spacing w:before="100" w:beforeAutospacing="1" w:after="100" w:afterAutospacing="1" w:line="240" w:lineRule="auto"/>
        <w:ind w:left="-360"/>
        <w:jc w:val="lowKashida"/>
        <w:rPr>
          <w:rFonts w:ascii="Times New Roman" w:eastAsia="Times New Roman" w:hAnsi="Times New Roman" w:cs="B Nazanin"/>
          <w:sz w:val="24"/>
          <w:szCs w:val="24"/>
          <w:rtl/>
        </w:rPr>
      </w:pPr>
      <w:r w:rsidRPr="004C3A62">
        <w:rPr>
          <w:rFonts w:ascii="Times New Roman" w:eastAsia="Times New Roman" w:hAnsi="Times New Roman" w:cs="B Nazanin"/>
          <w:sz w:val="24"/>
          <w:szCs w:val="24"/>
          <w:rtl/>
        </w:rPr>
        <w:t>انتشار اوراق بيمه اتكايي، صرفاً توسط نهاد واسط مجاز است</w:t>
      </w:r>
      <w:r w:rsidRPr="004C3A62">
        <w:rPr>
          <w:rFonts w:ascii="Times New Roman" w:eastAsia="Times New Roman" w:hAnsi="Times New Roman" w:cs="B Nazanin"/>
          <w:sz w:val="24"/>
          <w:szCs w:val="24"/>
        </w:rPr>
        <w:t>.</w:t>
      </w:r>
    </w:p>
    <w:p w:rsidR="009D3F94" w:rsidRDefault="009D3F94" w:rsidP="009D3F94">
      <w:pPr>
        <w:bidi/>
        <w:spacing w:before="100" w:beforeAutospacing="1" w:after="100" w:afterAutospacing="1" w:line="240" w:lineRule="auto"/>
        <w:ind w:left="-360"/>
        <w:jc w:val="lowKashida"/>
        <w:rPr>
          <w:rFonts w:ascii="Times New Roman" w:eastAsia="Times New Roman" w:hAnsi="Times New Roman" w:cs="B Nazanin"/>
          <w:sz w:val="24"/>
          <w:szCs w:val="24"/>
          <w:rtl/>
        </w:rPr>
      </w:pPr>
    </w:p>
    <w:p w:rsidR="009D3F94" w:rsidRDefault="009D3F94" w:rsidP="009D3F94">
      <w:pPr>
        <w:bidi/>
        <w:spacing w:before="100" w:beforeAutospacing="1" w:after="100" w:afterAutospacing="1" w:line="240" w:lineRule="auto"/>
        <w:ind w:left="-360"/>
        <w:jc w:val="lowKashida"/>
        <w:rPr>
          <w:rFonts w:ascii="Times New Roman" w:eastAsia="Times New Roman" w:hAnsi="Times New Roman" w:cs="B Nazanin"/>
          <w:sz w:val="24"/>
          <w:szCs w:val="24"/>
          <w:rtl/>
        </w:rPr>
      </w:pPr>
    </w:p>
    <w:p w:rsidR="009D3F94" w:rsidRPr="004C3A62" w:rsidRDefault="009D3F94" w:rsidP="009D3F94">
      <w:pPr>
        <w:bidi/>
        <w:spacing w:before="100" w:beforeAutospacing="1" w:after="100" w:afterAutospacing="1" w:line="240" w:lineRule="auto"/>
        <w:ind w:left="-360"/>
        <w:jc w:val="lowKashida"/>
        <w:rPr>
          <w:rFonts w:ascii="Times New Roman" w:eastAsia="Times New Roman" w:hAnsi="Times New Roman" w:cs="B Nazanin"/>
          <w:sz w:val="24"/>
          <w:szCs w:val="24"/>
        </w:rPr>
      </w:pPr>
    </w:p>
    <w:p w:rsidR="004C3A62" w:rsidRPr="004C3A62" w:rsidRDefault="004C3A62" w:rsidP="009D3F94">
      <w:pPr>
        <w:numPr>
          <w:ilvl w:val="1"/>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lastRenderedPageBreak/>
        <w:t xml:space="preserve">ماده </w:t>
      </w:r>
      <w:r w:rsidR="009D3F94">
        <w:rPr>
          <w:rFonts w:ascii="Times New Roman" w:eastAsia="Times New Roman" w:hAnsi="Times New Roman" w:cs="B Nazanin" w:hint="cs"/>
          <w:b/>
          <w:bCs/>
          <w:sz w:val="24"/>
          <w:szCs w:val="24"/>
          <w:rtl/>
        </w:rPr>
        <w:t>4</w:t>
      </w:r>
      <w:r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باني در صورتي مي تواند اقدام به درخواست انتشار اوراق بيمه اتكايي نمايد كه حداقل سه سال سابقه فعاليت در عمليات بيمه</w:t>
      </w:r>
      <w:r w:rsidR="009D3F94">
        <w:rPr>
          <w:rFonts w:ascii="Cambria" w:eastAsia="Times New Roman" w:hAnsi="Cambria" w:cs="Cambria" w:hint="cs"/>
          <w:sz w:val="24"/>
          <w:szCs w:val="24"/>
          <w:rtl/>
        </w:rPr>
        <w:t xml:space="preserve"> </w:t>
      </w:r>
      <w:r w:rsidRPr="004C3A62">
        <w:rPr>
          <w:rFonts w:ascii="Times New Roman" w:eastAsia="Times New Roman" w:hAnsi="Times New Roman" w:cs="B Nazanin" w:hint="cs"/>
          <w:sz w:val="24"/>
          <w:szCs w:val="24"/>
          <w:rtl/>
        </w:rPr>
        <w:t>اي</w:t>
      </w:r>
      <w:r w:rsidRPr="004C3A62">
        <w:rPr>
          <w:rFonts w:ascii="Times New Roman" w:eastAsia="Times New Roman" w:hAnsi="Times New Roman" w:cs="B Nazanin"/>
          <w:sz w:val="24"/>
          <w:szCs w:val="24"/>
          <w:rtl/>
        </w:rPr>
        <w:t xml:space="preserve"> </w:t>
      </w:r>
      <w:r w:rsidRPr="004C3A62">
        <w:rPr>
          <w:rFonts w:ascii="Times New Roman" w:eastAsia="Times New Roman" w:hAnsi="Times New Roman" w:cs="B Nazanin" w:hint="cs"/>
          <w:sz w:val="24"/>
          <w:szCs w:val="24"/>
          <w:rtl/>
        </w:rPr>
        <w:t>موضوع</w:t>
      </w:r>
      <w:r w:rsidRPr="004C3A62">
        <w:rPr>
          <w:rFonts w:ascii="Times New Roman" w:eastAsia="Times New Roman" w:hAnsi="Times New Roman" w:cs="B Nazanin"/>
          <w:sz w:val="24"/>
          <w:szCs w:val="24"/>
          <w:rtl/>
        </w:rPr>
        <w:t xml:space="preserve"> </w:t>
      </w:r>
      <w:r w:rsidRPr="004C3A62">
        <w:rPr>
          <w:rFonts w:ascii="Times New Roman" w:eastAsia="Times New Roman" w:hAnsi="Times New Roman" w:cs="B Nazanin" w:hint="cs"/>
          <w:sz w:val="24"/>
          <w:szCs w:val="24"/>
          <w:rtl/>
        </w:rPr>
        <w:t>انتشار</w:t>
      </w:r>
      <w:r w:rsidRPr="004C3A62">
        <w:rPr>
          <w:rFonts w:ascii="Times New Roman" w:eastAsia="Times New Roman" w:hAnsi="Times New Roman" w:cs="B Nazanin"/>
          <w:sz w:val="24"/>
          <w:szCs w:val="24"/>
          <w:rtl/>
        </w:rPr>
        <w:t xml:space="preserve"> </w:t>
      </w:r>
      <w:r w:rsidRPr="004C3A62">
        <w:rPr>
          <w:rFonts w:ascii="Times New Roman" w:eastAsia="Times New Roman" w:hAnsi="Times New Roman" w:cs="B Nazanin" w:hint="cs"/>
          <w:sz w:val="24"/>
          <w:szCs w:val="24"/>
          <w:rtl/>
        </w:rPr>
        <w:t>داشته</w:t>
      </w:r>
      <w:r w:rsidRPr="004C3A62">
        <w:rPr>
          <w:rFonts w:ascii="Times New Roman" w:eastAsia="Times New Roman" w:hAnsi="Times New Roman" w:cs="B Nazanin"/>
          <w:sz w:val="24"/>
          <w:szCs w:val="24"/>
          <w:rtl/>
        </w:rPr>
        <w:t xml:space="preserve"> باشد </w:t>
      </w:r>
      <w:proofErr w:type="gramStart"/>
      <w:r w:rsidRPr="004C3A62">
        <w:rPr>
          <w:rFonts w:ascii="Times New Roman" w:eastAsia="Times New Roman" w:hAnsi="Times New Roman" w:cs="B Nazanin"/>
          <w:sz w:val="24"/>
          <w:szCs w:val="24"/>
          <w:rtl/>
        </w:rPr>
        <w:t>و اظهارنظر</w:t>
      </w:r>
      <w:proofErr w:type="gramEnd"/>
      <w:r w:rsidRPr="004C3A62">
        <w:rPr>
          <w:rFonts w:ascii="Times New Roman" w:eastAsia="Times New Roman" w:hAnsi="Times New Roman" w:cs="B Nazanin"/>
          <w:sz w:val="24"/>
          <w:szCs w:val="24"/>
          <w:rtl/>
        </w:rPr>
        <w:t xml:space="preserve"> بازرس و حسابرس آن در خصوص صورت‌هاي مالي دو سال مالي اخير، مردود يا عدم اظهارنظر نباشد</w:t>
      </w:r>
      <w:r w:rsidRPr="004C3A62">
        <w:rPr>
          <w:rFonts w:ascii="Times New Roman" w:eastAsia="Times New Roman" w:hAnsi="Times New Roman" w:cs="B Nazanin"/>
          <w:sz w:val="24"/>
          <w:szCs w:val="24"/>
        </w:rPr>
        <w:t xml:space="preserve">. </w:t>
      </w:r>
    </w:p>
    <w:p w:rsidR="004C3A62" w:rsidRPr="004C3A62" w:rsidRDefault="004C3A62" w:rsidP="009D3F94">
      <w:pPr>
        <w:numPr>
          <w:ilvl w:val="1"/>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ماده </w:t>
      </w:r>
      <w:r w:rsidR="009D3F94">
        <w:rPr>
          <w:rFonts w:ascii="Times New Roman" w:eastAsia="Times New Roman" w:hAnsi="Times New Roman" w:cs="B Nazanin" w:hint="cs"/>
          <w:b/>
          <w:bCs/>
          <w:sz w:val="24"/>
          <w:szCs w:val="24"/>
          <w:rtl/>
        </w:rPr>
        <w:t>5</w:t>
      </w:r>
      <w:r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 xml:space="preserve">ضامن توسط باني </w:t>
      </w:r>
      <w:proofErr w:type="gramStart"/>
      <w:r w:rsidRPr="004C3A62">
        <w:rPr>
          <w:rFonts w:ascii="Times New Roman" w:eastAsia="Times New Roman" w:hAnsi="Times New Roman" w:cs="B Nazanin"/>
          <w:sz w:val="24"/>
          <w:szCs w:val="24"/>
          <w:rtl/>
        </w:rPr>
        <w:t>و با</w:t>
      </w:r>
      <w:proofErr w:type="gramEnd"/>
      <w:r w:rsidRPr="004C3A62">
        <w:rPr>
          <w:rFonts w:ascii="Times New Roman" w:eastAsia="Times New Roman" w:hAnsi="Times New Roman" w:cs="B Nazanin"/>
          <w:sz w:val="24"/>
          <w:szCs w:val="24"/>
          <w:rtl/>
        </w:rPr>
        <w:t xml:space="preserve"> تأييد سازمان صرفاً از ميان بانك‌ها، مؤسسات مالي و اعتباري تحت نظارت بانك مركزي جمهوري اسلامي ايران، صندوق‌هاي بازنشستگي، شركت‌هاي تأمين سرمايه، هلدينگ ها و شركت‌هاي سرمايه‌گذاري ثبت شده نزد سازمان، نهادهاي عمومي غير دولتي، دولت و شركت‌ها و مؤسسات دولتي انتخاب مي‌شود</w:t>
      </w:r>
      <w:r w:rsidRPr="004C3A62">
        <w:rPr>
          <w:rFonts w:ascii="Times New Roman" w:eastAsia="Times New Roman" w:hAnsi="Times New Roman" w:cs="B Nazanin"/>
          <w:sz w:val="24"/>
          <w:szCs w:val="24"/>
        </w:rPr>
        <w:t xml:space="preserve">. </w:t>
      </w:r>
    </w:p>
    <w:p w:rsidR="009D3F94" w:rsidRPr="009D3F94" w:rsidRDefault="009D3F94" w:rsidP="009D3F94">
      <w:pPr>
        <w:numPr>
          <w:ilvl w:val="2"/>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Pr>
          <w:rFonts w:ascii="Times New Roman" w:eastAsia="Times New Roman" w:hAnsi="Times New Roman" w:cs="B Nazanin"/>
          <w:b/>
          <w:bCs/>
          <w:sz w:val="24"/>
          <w:szCs w:val="24"/>
          <w:rtl/>
        </w:rPr>
        <w:t xml:space="preserve">تبصره </w:t>
      </w:r>
      <w:r>
        <w:rPr>
          <w:rFonts w:ascii="Times New Roman" w:eastAsia="Times New Roman" w:hAnsi="Times New Roman" w:cs="B Nazanin" w:hint="cs"/>
          <w:b/>
          <w:bCs/>
          <w:sz w:val="24"/>
          <w:szCs w:val="24"/>
          <w:rtl/>
        </w:rPr>
        <w:t>1</w:t>
      </w:r>
      <w:r w:rsidR="004C3A62" w:rsidRPr="004C3A62">
        <w:rPr>
          <w:rFonts w:ascii="Times New Roman" w:eastAsia="Times New Roman" w:hAnsi="Times New Roman" w:cs="B Nazanin"/>
          <w:b/>
          <w:bCs/>
          <w:sz w:val="24"/>
          <w:szCs w:val="24"/>
        </w:rPr>
        <w:t xml:space="preserve">: </w:t>
      </w:r>
    </w:p>
    <w:p w:rsidR="004C3A62" w:rsidRPr="004C3A62" w:rsidRDefault="004C3A62" w:rsidP="009D3F94">
      <w:pPr>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ضمانت اشخاص حقوقي تحت كنترل باني براي ايفاي تعهدات وي قابل قبول نيست. اين موضوع بايد توسط حسابرس باني تأييد گردد</w:t>
      </w:r>
      <w:r w:rsidRPr="004C3A62">
        <w:rPr>
          <w:rFonts w:ascii="Times New Roman" w:eastAsia="Times New Roman" w:hAnsi="Times New Roman" w:cs="B Nazanin"/>
          <w:sz w:val="24"/>
          <w:szCs w:val="24"/>
        </w:rPr>
        <w:t>.</w:t>
      </w:r>
    </w:p>
    <w:p w:rsidR="004C3A62" w:rsidRPr="004C3A62" w:rsidRDefault="004C3A62" w:rsidP="009D3F94">
      <w:pPr>
        <w:numPr>
          <w:ilvl w:val="2"/>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تبصره </w:t>
      </w:r>
      <w:r w:rsidR="009D3F94">
        <w:rPr>
          <w:rFonts w:ascii="Times New Roman" w:eastAsia="Times New Roman" w:hAnsi="Times New Roman" w:cs="B Nazanin" w:hint="cs"/>
          <w:b/>
          <w:bCs/>
          <w:sz w:val="24"/>
          <w:szCs w:val="24"/>
          <w:rtl/>
        </w:rPr>
        <w:t>2</w:t>
      </w:r>
      <w:r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در صورتي كه اوراق بيمه اتكايي داراي رتبة اعتباري از سوي مؤسسات رتبه بندي داراي مجوز از سازمان باشد، داشتن ضامن الزامي نخواهد بود. رتبه‌هاي اعتباري مورد قبول براي انتشار اوراق توسط سازمان اعلام خواهد شد</w:t>
      </w:r>
      <w:r w:rsidRPr="004C3A62">
        <w:rPr>
          <w:rFonts w:ascii="Times New Roman" w:eastAsia="Times New Roman" w:hAnsi="Times New Roman" w:cs="B Nazanin"/>
          <w:sz w:val="24"/>
          <w:szCs w:val="24"/>
        </w:rPr>
        <w:t xml:space="preserve">. </w:t>
      </w:r>
    </w:p>
    <w:p w:rsidR="004C3A62" w:rsidRPr="004C3A62" w:rsidRDefault="004C3A62" w:rsidP="009D3F94">
      <w:pPr>
        <w:numPr>
          <w:ilvl w:val="1"/>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ماده </w:t>
      </w:r>
      <w:r w:rsidR="009D3F94">
        <w:rPr>
          <w:rFonts w:ascii="Times New Roman" w:eastAsia="Times New Roman" w:hAnsi="Times New Roman" w:cs="B Nazanin" w:hint="cs"/>
          <w:b/>
          <w:bCs/>
          <w:sz w:val="24"/>
          <w:szCs w:val="24"/>
          <w:rtl/>
        </w:rPr>
        <w:t>6</w:t>
      </w:r>
      <w:r w:rsidRPr="004C3A62">
        <w:rPr>
          <w:rFonts w:ascii="Times New Roman" w:eastAsia="Times New Roman" w:hAnsi="Times New Roman" w:cs="B Nazanin"/>
          <w:b/>
          <w:bCs/>
          <w:sz w:val="24"/>
          <w:szCs w:val="24"/>
        </w:rPr>
        <w:t xml:space="preserve">: </w:t>
      </w:r>
    </w:p>
    <w:p w:rsidR="009D3F94" w:rsidRDefault="004C3A62" w:rsidP="00B87849">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tl/>
        </w:rPr>
      </w:pPr>
      <w:r w:rsidRPr="004C3A62">
        <w:rPr>
          <w:rFonts w:ascii="Times New Roman" w:eastAsia="Times New Roman" w:hAnsi="Times New Roman" w:cs="B Nazanin"/>
          <w:sz w:val="24"/>
          <w:szCs w:val="24"/>
          <w:rtl/>
        </w:rPr>
        <w:t>در صورت توثيق اوراق بهادار توسط باني يا ساير اشخاص با شرايط زير به نفع نهاد واسط براي تضمين تعهدات، داشتن ضامن الزامي نيست</w:t>
      </w:r>
      <w:r w:rsidRPr="004C3A62">
        <w:rPr>
          <w:rFonts w:ascii="Times New Roman" w:eastAsia="Times New Roman" w:hAnsi="Times New Roman" w:cs="B Nazanin"/>
          <w:sz w:val="24"/>
          <w:szCs w:val="24"/>
        </w:rPr>
        <w:t xml:space="preserve">: </w:t>
      </w:r>
    </w:p>
    <w:p w:rsidR="004C3A62" w:rsidRPr="004C3A62" w:rsidRDefault="009D3F94" w:rsidP="009D3F94">
      <w:pPr>
        <w:numPr>
          <w:ilvl w:val="2"/>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Pr>
          <w:rFonts w:ascii="Times New Roman" w:eastAsia="Times New Roman" w:hAnsi="Times New Roman" w:cs="B Nazanin"/>
          <w:b/>
          <w:bCs/>
          <w:sz w:val="24"/>
          <w:szCs w:val="24"/>
          <w:rtl/>
        </w:rPr>
        <w:t xml:space="preserve">بند </w:t>
      </w:r>
      <w:r>
        <w:rPr>
          <w:rFonts w:ascii="Times New Roman" w:eastAsia="Times New Roman" w:hAnsi="Times New Roman" w:cs="B Nazanin" w:hint="cs"/>
          <w:b/>
          <w:bCs/>
          <w:sz w:val="24"/>
          <w:szCs w:val="24"/>
          <w:rtl/>
        </w:rPr>
        <w:t>1</w:t>
      </w:r>
      <w:r w:rsidR="004C3A62" w:rsidRPr="004C3A62">
        <w:rPr>
          <w:rFonts w:ascii="Times New Roman" w:eastAsia="Times New Roman" w:hAnsi="Times New Roman" w:cs="B Nazanin"/>
          <w:b/>
          <w:bCs/>
          <w:sz w:val="24"/>
          <w:szCs w:val="24"/>
        </w:rPr>
        <w:t xml:space="preserve">: </w:t>
      </w:r>
    </w:p>
    <w:p w:rsidR="009D3F94" w:rsidRPr="004C3A62" w:rsidRDefault="004C3A62" w:rsidP="009D3F94">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 xml:space="preserve">ضريب ارزش اوراق بهادار </w:t>
      </w:r>
      <w:proofErr w:type="gramStart"/>
      <w:r w:rsidRPr="004C3A62">
        <w:rPr>
          <w:rFonts w:ascii="Times New Roman" w:eastAsia="Times New Roman" w:hAnsi="Times New Roman" w:cs="B Nazanin"/>
          <w:sz w:val="24"/>
          <w:szCs w:val="24"/>
          <w:rtl/>
        </w:rPr>
        <w:t>وثيقه</w:t>
      </w:r>
      <w:proofErr w:type="gramEnd"/>
      <w:r w:rsidRPr="004C3A62">
        <w:rPr>
          <w:rFonts w:ascii="Times New Roman" w:eastAsia="Times New Roman" w:hAnsi="Times New Roman" w:cs="B Nazanin"/>
          <w:sz w:val="24"/>
          <w:szCs w:val="24"/>
          <w:rtl/>
        </w:rPr>
        <w:t xml:space="preserve"> شده نسبت به مجموع وجوه ناشي از انتشار اوراق (منابع حاصل از انتشار اوراق، حق بيمه هاي دريافتي و سودهاي پرداخت نشده) و حد تعيين شده براي جبران وثيقه به شرح جدول زير باشد</w:t>
      </w:r>
      <w:r w:rsidRPr="004C3A62">
        <w:rPr>
          <w:rFonts w:ascii="Times New Roman" w:eastAsia="Times New Roman" w:hAnsi="Times New Roman" w:cs="B Nazanin"/>
          <w:sz w:val="24"/>
          <w:szCs w:val="24"/>
        </w:rPr>
        <w:t xml:space="preserve">: </w:t>
      </w:r>
    </w:p>
    <w:tbl>
      <w:tblPr>
        <w:tblpPr w:leftFromText="180" w:rightFromText="180" w:vertAnchor="text" w:tblpXSpec="center" w:tblpY="1"/>
        <w:tblOverlap w:val="never"/>
        <w:bidiVisual/>
        <w:tblW w:w="8820" w:type="dxa"/>
        <w:tblCellSpacing w:w="0" w:type="dxa"/>
        <w:tblBorders>
          <w:top w:val="outset" w:sz="6" w:space="0" w:color="auto"/>
          <w:left w:val="outset" w:sz="6" w:space="0" w:color="auto"/>
          <w:bottom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4230"/>
        <w:gridCol w:w="2340"/>
        <w:gridCol w:w="2250"/>
      </w:tblGrid>
      <w:tr w:rsidR="009D3F94" w:rsidRPr="00AF550D" w:rsidTr="006867DE">
        <w:trPr>
          <w:tblCellSpacing w:w="0" w:type="dxa"/>
        </w:trPr>
        <w:tc>
          <w:tcPr>
            <w:tcW w:w="4230" w:type="dxa"/>
            <w:vAlign w:val="center"/>
            <w:hideMark/>
          </w:tcPr>
          <w:p w:rsidR="009D3F94" w:rsidRPr="00B87849" w:rsidRDefault="009D3F94" w:rsidP="006867DE">
            <w:pPr>
              <w:pStyle w:val="ListParagraph"/>
              <w:tabs>
                <w:tab w:val="left" w:pos="2142"/>
                <w:tab w:val="right" w:pos="3975"/>
              </w:tabs>
              <w:spacing w:line="276" w:lineRule="auto"/>
              <w:ind w:hanging="195"/>
              <w:jc w:val="center"/>
              <w:rPr>
                <w:rFonts w:ascii="Times New Roman" w:eastAsia="Times New Roman" w:hAnsi="Times New Roman" w:cs="B Nazanin"/>
                <w:sz w:val="24"/>
                <w:szCs w:val="24"/>
                <w:lang w:val="en-US" w:bidi="ar-SA"/>
              </w:rPr>
            </w:pPr>
            <w:r w:rsidRPr="00B87849">
              <w:rPr>
                <w:rFonts w:ascii="Times New Roman" w:eastAsia="Times New Roman" w:hAnsi="Times New Roman" w:cs="B Nazanin"/>
                <w:sz w:val="24"/>
                <w:szCs w:val="24"/>
                <w:rtl/>
                <w:lang w:val="en-US" w:bidi="ar-SA"/>
              </w:rPr>
              <w:t>شرح</w:t>
            </w:r>
          </w:p>
        </w:tc>
        <w:tc>
          <w:tcPr>
            <w:tcW w:w="2340" w:type="dxa"/>
            <w:vAlign w:val="center"/>
            <w:hideMark/>
          </w:tcPr>
          <w:p w:rsidR="009D3F94" w:rsidRPr="00B87849" w:rsidRDefault="009D3F94" w:rsidP="006867DE">
            <w:pPr>
              <w:pStyle w:val="ListParagraph"/>
              <w:tabs>
                <w:tab w:val="left" w:pos="2142"/>
                <w:tab w:val="right" w:pos="3975"/>
              </w:tabs>
              <w:spacing w:line="276" w:lineRule="auto"/>
              <w:ind w:left="245" w:right="346" w:firstLine="0"/>
              <w:jc w:val="center"/>
              <w:rPr>
                <w:rFonts w:ascii="Times New Roman" w:eastAsia="Times New Roman" w:hAnsi="Times New Roman" w:cs="B Nazanin"/>
                <w:sz w:val="24"/>
                <w:szCs w:val="24"/>
                <w:lang w:val="en-US" w:bidi="ar-SA"/>
              </w:rPr>
            </w:pPr>
            <w:r w:rsidRPr="00B87849">
              <w:rPr>
                <w:rFonts w:ascii="Times New Roman" w:eastAsia="Times New Roman" w:hAnsi="Times New Roman" w:cs="B Nazanin"/>
                <w:sz w:val="24"/>
                <w:szCs w:val="24"/>
                <w:rtl/>
                <w:lang w:val="en-US" w:bidi="ar-SA"/>
              </w:rPr>
              <w:t xml:space="preserve">ضريب- نسبت به ارزش اصل و سود </w:t>
            </w:r>
            <w:r w:rsidRPr="00B87849">
              <w:rPr>
                <w:rFonts w:ascii="Times New Roman" w:eastAsia="Times New Roman" w:hAnsi="Times New Roman" w:cs="B Nazanin" w:hint="cs"/>
                <w:sz w:val="24"/>
                <w:szCs w:val="24"/>
                <w:rtl/>
                <w:lang w:val="en-US" w:bidi="ar-SA"/>
              </w:rPr>
              <w:t>وجوه دراختیار</w:t>
            </w:r>
          </w:p>
        </w:tc>
        <w:tc>
          <w:tcPr>
            <w:tcW w:w="2250" w:type="dxa"/>
            <w:vAlign w:val="center"/>
            <w:hideMark/>
          </w:tcPr>
          <w:p w:rsidR="009D3F94" w:rsidRPr="00B87849" w:rsidRDefault="009D3F94" w:rsidP="006867DE">
            <w:pPr>
              <w:pStyle w:val="ListParagraph"/>
              <w:tabs>
                <w:tab w:val="left" w:pos="2142"/>
                <w:tab w:val="right" w:pos="3975"/>
              </w:tabs>
              <w:spacing w:line="276" w:lineRule="auto"/>
              <w:ind w:left="245" w:right="346" w:firstLine="0"/>
              <w:jc w:val="center"/>
              <w:rPr>
                <w:rFonts w:ascii="Times New Roman" w:eastAsia="Times New Roman" w:hAnsi="Times New Roman" w:cs="B Nazanin"/>
                <w:sz w:val="24"/>
                <w:szCs w:val="24"/>
                <w:lang w:val="en-US" w:bidi="ar-SA"/>
              </w:rPr>
            </w:pPr>
            <w:r w:rsidRPr="00B87849">
              <w:rPr>
                <w:rFonts w:ascii="Times New Roman" w:eastAsia="Times New Roman" w:hAnsi="Times New Roman" w:cs="B Nazanin"/>
                <w:sz w:val="24"/>
                <w:szCs w:val="24"/>
                <w:rtl/>
                <w:lang w:val="en-US" w:bidi="ar-SA"/>
              </w:rPr>
              <w:t xml:space="preserve">حد جبران وثيقه- نسبت به ارزش </w:t>
            </w:r>
            <w:r w:rsidRPr="00B87849">
              <w:rPr>
                <w:rFonts w:ascii="Times New Roman" w:eastAsia="Times New Roman" w:hAnsi="Times New Roman" w:cs="B Nazanin" w:hint="cs"/>
                <w:sz w:val="24"/>
                <w:szCs w:val="24"/>
                <w:rtl/>
                <w:lang w:val="en-US" w:bidi="ar-SA"/>
              </w:rPr>
              <w:t xml:space="preserve"> وجوه در اختیار</w:t>
            </w:r>
          </w:p>
        </w:tc>
      </w:tr>
      <w:tr w:rsidR="009D3F94" w:rsidRPr="00AF550D" w:rsidTr="006867DE">
        <w:trPr>
          <w:tblCellSpacing w:w="0" w:type="dxa"/>
        </w:trPr>
        <w:tc>
          <w:tcPr>
            <w:tcW w:w="4230" w:type="dxa"/>
            <w:vAlign w:val="center"/>
            <w:hideMark/>
          </w:tcPr>
          <w:p w:rsidR="009D3F94" w:rsidRPr="00B87849" w:rsidRDefault="009D3F94" w:rsidP="006867DE">
            <w:pPr>
              <w:pStyle w:val="ListParagraph"/>
              <w:tabs>
                <w:tab w:val="left" w:pos="2142"/>
              </w:tabs>
              <w:spacing w:line="276" w:lineRule="auto"/>
              <w:ind w:left="75" w:firstLine="0"/>
              <w:jc w:val="center"/>
              <w:rPr>
                <w:rFonts w:ascii="Times New Roman" w:eastAsia="Times New Roman" w:hAnsi="Times New Roman" w:cs="B Nazanin"/>
                <w:sz w:val="24"/>
                <w:szCs w:val="24"/>
                <w:lang w:val="en-US" w:bidi="ar-SA"/>
              </w:rPr>
            </w:pPr>
            <w:r w:rsidRPr="00B87849">
              <w:rPr>
                <w:rFonts w:ascii="Times New Roman" w:eastAsia="Times New Roman" w:hAnsi="Times New Roman" w:cs="B Nazanin"/>
                <w:sz w:val="24"/>
                <w:szCs w:val="24"/>
                <w:rtl/>
                <w:lang w:val="en-US" w:bidi="ar-SA"/>
              </w:rPr>
              <w:t>سهام شركت‌هاي پذيرفته‌شده در بورس اوراق بهادار تهران</w:t>
            </w:r>
          </w:p>
        </w:tc>
        <w:tc>
          <w:tcPr>
            <w:tcW w:w="2340" w:type="dxa"/>
            <w:vAlign w:val="center"/>
            <w:hideMark/>
          </w:tcPr>
          <w:p w:rsidR="009D3F94" w:rsidRPr="00B87849" w:rsidRDefault="009D3F94" w:rsidP="006867DE">
            <w:pPr>
              <w:pStyle w:val="ListParagraph"/>
              <w:tabs>
                <w:tab w:val="left" w:pos="2142"/>
              </w:tabs>
              <w:spacing w:line="276" w:lineRule="auto"/>
              <w:jc w:val="center"/>
              <w:rPr>
                <w:rFonts w:ascii="Times New Roman" w:eastAsia="Times New Roman" w:hAnsi="Times New Roman" w:cs="B Nazanin"/>
                <w:sz w:val="24"/>
                <w:szCs w:val="24"/>
                <w:lang w:val="en-US" w:bidi="ar-SA"/>
              </w:rPr>
            </w:pPr>
            <w:r w:rsidRPr="00B87849">
              <w:rPr>
                <w:rFonts w:ascii="Times New Roman" w:eastAsia="Times New Roman" w:hAnsi="Times New Roman" w:cs="B Nazanin" w:hint="cs"/>
                <w:sz w:val="24"/>
                <w:szCs w:val="24"/>
                <w:rtl/>
                <w:lang w:val="en-US" w:bidi="ar-SA"/>
              </w:rPr>
              <w:t>5/1</w:t>
            </w:r>
          </w:p>
        </w:tc>
        <w:tc>
          <w:tcPr>
            <w:tcW w:w="2250" w:type="dxa"/>
            <w:vAlign w:val="center"/>
            <w:hideMark/>
          </w:tcPr>
          <w:p w:rsidR="009D3F94" w:rsidRPr="00B87849" w:rsidRDefault="009D3F94" w:rsidP="006867DE">
            <w:pPr>
              <w:pStyle w:val="ListParagraph"/>
              <w:tabs>
                <w:tab w:val="left" w:pos="2142"/>
              </w:tabs>
              <w:spacing w:line="276" w:lineRule="auto"/>
              <w:jc w:val="center"/>
              <w:rPr>
                <w:rFonts w:ascii="Times New Roman" w:eastAsia="Times New Roman" w:hAnsi="Times New Roman" w:cs="B Nazanin"/>
                <w:sz w:val="24"/>
                <w:szCs w:val="24"/>
                <w:lang w:val="en-US" w:bidi="ar-SA"/>
              </w:rPr>
            </w:pPr>
            <w:r w:rsidRPr="00B87849">
              <w:rPr>
                <w:rFonts w:ascii="Times New Roman" w:eastAsia="Times New Roman" w:hAnsi="Times New Roman" w:cs="B Nazanin"/>
                <w:sz w:val="24"/>
                <w:szCs w:val="24"/>
                <w:rtl/>
                <w:lang w:val="en-US" w:bidi="ar-SA"/>
              </w:rPr>
              <w:t>1/1</w:t>
            </w:r>
          </w:p>
        </w:tc>
      </w:tr>
      <w:tr w:rsidR="009D3F94" w:rsidRPr="00AF550D" w:rsidTr="006867DE">
        <w:trPr>
          <w:tblCellSpacing w:w="0" w:type="dxa"/>
        </w:trPr>
        <w:tc>
          <w:tcPr>
            <w:tcW w:w="4230" w:type="dxa"/>
            <w:vAlign w:val="center"/>
            <w:hideMark/>
          </w:tcPr>
          <w:p w:rsidR="009D3F94" w:rsidRPr="00B87849" w:rsidRDefault="009D3F94" w:rsidP="006867DE">
            <w:pPr>
              <w:pStyle w:val="ListParagraph"/>
              <w:tabs>
                <w:tab w:val="left" w:pos="2142"/>
              </w:tabs>
              <w:spacing w:line="276" w:lineRule="auto"/>
              <w:ind w:left="75" w:firstLine="0"/>
              <w:jc w:val="center"/>
              <w:rPr>
                <w:rFonts w:ascii="Times New Roman" w:eastAsia="Times New Roman" w:hAnsi="Times New Roman" w:cs="B Nazanin"/>
                <w:sz w:val="24"/>
                <w:szCs w:val="24"/>
                <w:lang w:val="en-US" w:bidi="ar-SA"/>
              </w:rPr>
            </w:pPr>
            <w:r w:rsidRPr="00B87849">
              <w:rPr>
                <w:rFonts w:ascii="Times New Roman" w:eastAsia="Times New Roman" w:hAnsi="Times New Roman" w:cs="B Nazanin"/>
                <w:sz w:val="24"/>
                <w:szCs w:val="24"/>
                <w:rtl/>
                <w:lang w:val="en-US" w:bidi="ar-SA"/>
              </w:rPr>
              <w:lastRenderedPageBreak/>
              <w:t xml:space="preserve">سهام شركت‌هاي پذيرفته شده در فرابورس </w:t>
            </w:r>
            <w:r w:rsidRPr="00B87849">
              <w:rPr>
                <w:rFonts w:ascii="Times New Roman" w:eastAsia="Times New Roman" w:hAnsi="Times New Roman" w:cs="B Nazanin" w:hint="cs"/>
                <w:sz w:val="24"/>
                <w:szCs w:val="24"/>
                <w:rtl/>
                <w:lang w:val="en-US" w:bidi="ar-SA"/>
              </w:rPr>
              <w:t xml:space="preserve">که </w:t>
            </w:r>
            <w:r w:rsidRPr="00B87849">
              <w:rPr>
                <w:rFonts w:ascii="Times New Roman" w:eastAsia="Times New Roman" w:hAnsi="Times New Roman" w:cs="B Nazanin"/>
                <w:sz w:val="24"/>
                <w:szCs w:val="24"/>
                <w:rtl/>
                <w:lang w:val="en-US" w:bidi="ar-SA"/>
              </w:rPr>
              <w:t>مجاز براي خريد و فروش توسط صندوق‌هاي سرمايه‌گذاري</w:t>
            </w:r>
            <w:r w:rsidRPr="00B87849">
              <w:rPr>
                <w:rFonts w:ascii="Times New Roman" w:eastAsia="Times New Roman" w:hAnsi="Times New Roman" w:cs="B Nazanin" w:hint="cs"/>
                <w:sz w:val="24"/>
                <w:szCs w:val="24"/>
                <w:rtl/>
                <w:lang w:val="en-US" w:bidi="ar-SA"/>
              </w:rPr>
              <w:t xml:space="preserve"> باشد</w:t>
            </w:r>
          </w:p>
        </w:tc>
        <w:tc>
          <w:tcPr>
            <w:tcW w:w="2340" w:type="dxa"/>
            <w:vAlign w:val="center"/>
            <w:hideMark/>
          </w:tcPr>
          <w:p w:rsidR="009D3F94" w:rsidRPr="00B87849" w:rsidRDefault="009D3F94" w:rsidP="006867DE">
            <w:pPr>
              <w:pStyle w:val="ListParagraph"/>
              <w:tabs>
                <w:tab w:val="left" w:pos="2142"/>
              </w:tabs>
              <w:spacing w:line="276" w:lineRule="auto"/>
              <w:jc w:val="center"/>
              <w:rPr>
                <w:rFonts w:ascii="Times New Roman" w:eastAsia="Times New Roman" w:hAnsi="Times New Roman" w:cs="B Nazanin"/>
                <w:sz w:val="24"/>
                <w:szCs w:val="24"/>
                <w:lang w:val="en-US" w:bidi="ar-SA"/>
              </w:rPr>
            </w:pPr>
            <w:r w:rsidRPr="00B87849">
              <w:rPr>
                <w:rFonts w:ascii="Times New Roman" w:eastAsia="Times New Roman" w:hAnsi="Times New Roman" w:cs="B Nazanin"/>
                <w:sz w:val="24"/>
                <w:szCs w:val="24"/>
                <w:rtl/>
                <w:lang w:val="en-US" w:bidi="ar-SA"/>
              </w:rPr>
              <w:t>2</w:t>
            </w:r>
          </w:p>
        </w:tc>
        <w:tc>
          <w:tcPr>
            <w:tcW w:w="2250" w:type="dxa"/>
            <w:vAlign w:val="center"/>
            <w:hideMark/>
          </w:tcPr>
          <w:p w:rsidR="009D3F94" w:rsidRPr="00B87849" w:rsidRDefault="009D3F94" w:rsidP="006867DE">
            <w:pPr>
              <w:pStyle w:val="ListParagraph"/>
              <w:tabs>
                <w:tab w:val="left" w:pos="2142"/>
              </w:tabs>
              <w:spacing w:line="276" w:lineRule="auto"/>
              <w:jc w:val="center"/>
              <w:rPr>
                <w:rFonts w:ascii="Times New Roman" w:eastAsia="Times New Roman" w:hAnsi="Times New Roman" w:cs="B Nazanin"/>
                <w:sz w:val="24"/>
                <w:szCs w:val="24"/>
                <w:lang w:val="en-US" w:bidi="ar-SA"/>
              </w:rPr>
            </w:pPr>
            <w:r w:rsidRPr="00B87849">
              <w:rPr>
                <w:rFonts w:ascii="Times New Roman" w:eastAsia="Times New Roman" w:hAnsi="Times New Roman" w:cs="B Nazanin" w:hint="cs"/>
                <w:sz w:val="24"/>
                <w:szCs w:val="24"/>
                <w:rtl/>
                <w:lang w:val="en-US" w:bidi="ar-SA"/>
              </w:rPr>
              <w:t>5/1</w:t>
            </w:r>
          </w:p>
        </w:tc>
      </w:tr>
      <w:tr w:rsidR="009D3F94" w:rsidRPr="00AF550D" w:rsidTr="006867DE">
        <w:trPr>
          <w:tblCellSpacing w:w="0" w:type="dxa"/>
        </w:trPr>
        <w:tc>
          <w:tcPr>
            <w:tcW w:w="4230" w:type="dxa"/>
            <w:vAlign w:val="center"/>
            <w:hideMark/>
          </w:tcPr>
          <w:p w:rsidR="009D3F94" w:rsidRPr="00B87849" w:rsidRDefault="009D3F94" w:rsidP="006867DE">
            <w:pPr>
              <w:pStyle w:val="ListParagraph"/>
              <w:tabs>
                <w:tab w:val="left" w:pos="2142"/>
              </w:tabs>
              <w:spacing w:line="276" w:lineRule="auto"/>
              <w:ind w:left="75" w:firstLine="0"/>
              <w:jc w:val="center"/>
              <w:rPr>
                <w:rFonts w:ascii="Times New Roman" w:eastAsia="Times New Roman" w:hAnsi="Times New Roman" w:cs="B Nazanin"/>
                <w:sz w:val="24"/>
                <w:szCs w:val="24"/>
                <w:lang w:val="en-US" w:bidi="ar-SA"/>
              </w:rPr>
            </w:pPr>
            <w:r w:rsidRPr="00B87849">
              <w:rPr>
                <w:rFonts w:ascii="Times New Roman" w:eastAsia="Times New Roman" w:hAnsi="Times New Roman" w:cs="B Nazanin"/>
                <w:sz w:val="24"/>
                <w:szCs w:val="24"/>
                <w:rtl/>
                <w:lang w:val="en-US" w:bidi="ar-SA"/>
              </w:rPr>
              <w:t>سهام باني توثيق شده توسط سهامدار شركت باني</w:t>
            </w:r>
          </w:p>
        </w:tc>
        <w:tc>
          <w:tcPr>
            <w:tcW w:w="2340" w:type="dxa"/>
            <w:vAlign w:val="center"/>
            <w:hideMark/>
          </w:tcPr>
          <w:p w:rsidR="009D3F94" w:rsidRPr="00B87849" w:rsidRDefault="009D3F94" w:rsidP="006867DE">
            <w:pPr>
              <w:pStyle w:val="ListParagraph"/>
              <w:tabs>
                <w:tab w:val="left" w:pos="2142"/>
              </w:tabs>
              <w:spacing w:line="276" w:lineRule="auto"/>
              <w:jc w:val="center"/>
              <w:rPr>
                <w:rFonts w:ascii="Times New Roman" w:eastAsia="Times New Roman" w:hAnsi="Times New Roman" w:cs="B Nazanin"/>
                <w:sz w:val="24"/>
                <w:szCs w:val="24"/>
                <w:lang w:val="en-US" w:bidi="ar-SA"/>
              </w:rPr>
            </w:pPr>
            <w:r w:rsidRPr="00B87849">
              <w:rPr>
                <w:rFonts w:ascii="Times New Roman" w:eastAsia="Times New Roman" w:hAnsi="Times New Roman" w:cs="B Nazanin" w:hint="cs"/>
                <w:sz w:val="24"/>
                <w:szCs w:val="24"/>
                <w:rtl/>
                <w:lang w:val="en-US" w:bidi="ar-SA"/>
              </w:rPr>
              <w:t>5/2</w:t>
            </w:r>
          </w:p>
        </w:tc>
        <w:tc>
          <w:tcPr>
            <w:tcW w:w="2250" w:type="dxa"/>
            <w:vAlign w:val="center"/>
            <w:hideMark/>
          </w:tcPr>
          <w:p w:rsidR="009D3F94" w:rsidRPr="00B87849" w:rsidRDefault="009D3F94" w:rsidP="006867DE">
            <w:pPr>
              <w:pStyle w:val="ListParagraph"/>
              <w:tabs>
                <w:tab w:val="left" w:pos="2142"/>
              </w:tabs>
              <w:spacing w:line="276" w:lineRule="auto"/>
              <w:jc w:val="center"/>
              <w:rPr>
                <w:rFonts w:ascii="Times New Roman" w:eastAsia="Times New Roman" w:hAnsi="Times New Roman" w:cs="B Nazanin"/>
                <w:sz w:val="24"/>
                <w:szCs w:val="24"/>
                <w:lang w:val="en-US" w:bidi="ar-SA"/>
              </w:rPr>
            </w:pPr>
            <w:r w:rsidRPr="00B87849">
              <w:rPr>
                <w:rFonts w:ascii="Times New Roman" w:eastAsia="Times New Roman" w:hAnsi="Times New Roman" w:cs="B Nazanin" w:hint="cs"/>
                <w:sz w:val="24"/>
                <w:szCs w:val="24"/>
                <w:rtl/>
                <w:lang w:val="en-US" w:bidi="ar-SA"/>
              </w:rPr>
              <w:t>8/1</w:t>
            </w:r>
          </w:p>
        </w:tc>
      </w:tr>
      <w:tr w:rsidR="009D3F94" w:rsidRPr="00AF550D" w:rsidTr="006867DE">
        <w:trPr>
          <w:tblCellSpacing w:w="0" w:type="dxa"/>
        </w:trPr>
        <w:tc>
          <w:tcPr>
            <w:tcW w:w="4230" w:type="dxa"/>
            <w:vAlign w:val="center"/>
            <w:hideMark/>
          </w:tcPr>
          <w:p w:rsidR="009D3F94" w:rsidRPr="00B87849" w:rsidRDefault="009D3F94" w:rsidP="006867DE">
            <w:pPr>
              <w:pStyle w:val="ListParagraph"/>
              <w:tabs>
                <w:tab w:val="left" w:pos="2142"/>
              </w:tabs>
              <w:spacing w:line="276" w:lineRule="auto"/>
              <w:ind w:left="75" w:firstLine="0"/>
              <w:jc w:val="center"/>
              <w:rPr>
                <w:rFonts w:ascii="Times New Roman" w:eastAsia="Times New Roman" w:hAnsi="Times New Roman" w:cs="B Nazanin"/>
                <w:sz w:val="24"/>
                <w:szCs w:val="24"/>
                <w:lang w:val="en-US" w:bidi="ar-SA"/>
              </w:rPr>
            </w:pPr>
            <w:r w:rsidRPr="00B87849">
              <w:rPr>
                <w:rFonts w:ascii="Times New Roman" w:eastAsia="Times New Roman" w:hAnsi="Times New Roman" w:cs="B Nazanin"/>
                <w:sz w:val="24"/>
                <w:szCs w:val="24"/>
                <w:rtl/>
                <w:lang w:val="en-US" w:bidi="ar-SA"/>
              </w:rPr>
              <w:t>اوراق بهادار(غير از سهام) با درآمد ثابت يا متغير پذيرفته شده در بورس‌ اوراق بهادار تهران/ فرا بورس ايران داراي ضمانت بانك‌ها و مؤسسات مالي اعتباري داراي مجوز از بانك مركزي</w:t>
            </w:r>
          </w:p>
        </w:tc>
        <w:tc>
          <w:tcPr>
            <w:tcW w:w="2340" w:type="dxa"/>
            <w:vAlign w:val="center"/>
            <w:hideMark/>
          </w:tcPr>
          <w:p w:rsidR="009D3F94" w:rsidRPr="00B87849" w:rsidRDefault="009D3F94" w:rsidP="006867DE">
            <w:pPr>
              <w:pStyle w:val="ListParagraph"/>
              <w:tabs>
                <w:tab w:val="left" w:pos="2142"/>
              </w:tabs>
              <w:spacing w:line="276" w:lineRule="auto"/>
              <w:jc w:val="center"/>
              <w:rPr>
                <w:rFonts w:ascii="Times New Roman" w:eastAsia="Times New Roman" w:hAnsi="Times New Roman" w:cs="B Nazanin"/>
                <w:sz w:val="24"/>
                <w:szCs w:val="24"/>
                <w:lang w:val="en-US" w:bidi="ar-SA"/>
              </w:rPr>
            </w:pPr>
            <w:r w:rsidRPr="00B87849">
              <w:rPr>
                <w:rFonts w:ascii="Times New Roman" w:eastAsia="Times New Roman" w:hAnsi="Times New Roman" w:cs="B Nazanin" w:hint="cs"/>
                <w:sz w:val="24"/>
                <w:szCs w:val="24"/>
                <w:rtl/>
                <w:lang w:val="en-US" w:bidi="ar-SA"/>
              </w:rPr>
              <w:t>2/1</w:t>
            </w:r>
          </w:p>
        </w:tc>
        <w:tc>
          <w:tcPr>
            <w:tcW w:w="2250" w:type="dxa"/>
            <w:vAlign w:val="center"/>
            <w:hideMark/>
          </w:tcPr>
          <w:p w:rsidR="009D3F94" w:rsidRPr="00B87849" w:rsidRDefault="009D3F94" w:rsidP="006867DE">
            <w:pPr>
              <w:pStyle w:val="ListParagraph"/>
              <w:tabs>
                <w:tab w:val="left" w:pos="2142"/>
              </w:tabs>
              <w:spacing w:line="276" w:lineRule="auto"/>
              <w:jc w:val="center"/>
              <w:rPr>
                <w:rFonts w:ascii="Times New Roman" w:eastAsia="Times New Roman" w:hAnsi="Times New Roman" w:cs="B Nazanin"/>
                <w:sz w:val="24"/>
                <w:szCs w:val="24"/>
                <w:lang w:val="en-US" w:bidi="ar-SA"/>
              </w:rPr>
            </w:pPr>
            <w:r w:rsidRPr="00B87849">
              <w:rPr>
                <w:rFonts w:ascii="Times New Roman" w:eastAsia="Times New Roman" w:hAnsi="Times New Roman" w:cs="B Nazanin"/>
                <w:sz w:val="24"/>
                <w:szCs w:val="24"/>
                <w:rtl/>
                <w:lang w:val="en-US" w:bidi="ar-SA"/>
              </w:rPr>
              <w:t>1</w:t>
            </w:r>
          </w:p>
        </w:tc>
      </w:tr>
      <w:tr w:rsidR="009D3F94" w:rsidRPr="00AF550D" w:rsidTr="006867DE">
        <w:trPr>
          <w:tblCellSpacing w:w="0" w:type="dxa"/>
        </w:trPr>
        <w:tc>
          <w:tcPr>
            <w:tcW w:w="4230" w:type="dxa"/>
            <w:vAlign w:val="center"/>
            <w:hideMark/>
          </w:tcPr>
          <w:p w:rsidR="009D3F94" w:rsidRPr="00B87849" w:rsidRDefault="009D3F94" w:rsidP="006867DE">
            <w:pPr>
              <w:pStyle w:val="ListParagraph"/>
              <w:tabs>
                <w:tab w:val="left" w:pos="2142"/>
              </w:tabs>
              <w:spacing w:line="276" w:lineRule="auto"/>
              <w:ind w:left="75" w:firstLine="0"/>
              <w:jc w:val="center"/>
              <w:rPr>
                <w:rFonts w:ascii="Times New Roman" w:eastAsia="Times New Roman" w:hAnsi="Times New Roman" w:cs="B Nazanin"/>
                <w:sz w:val="24"/>
                <w:szCs w:val="24"/>
                <w:lang w:val="en-US" w:bidi="ar-SA"/>
              </w:rPr>
            </w:pPr>
            <w:r w:rsidRPr="00B87849">
              <w:rPr>
                <w:rFonts w:ascii="Times New Roman" w:eastAsia="Times New Roman" w:hAnsi="Times New Roman" w:cs="B Nazanin"/>
                <w:sz w:val="24"/>
                <w:szCs w:val="24"/>
                <w:rtl/>
                <w:lang w:val="en-US" w:bidi="ar-SA"/>
              </w:rPr>
              <w:t>اوراق بهادار(غير از سهام) با درآمد ثابت يا متغير پذيرفته شده در بورس‌ اوراق بهادار تهران/ فرا بورس ايران داراي ضامن غير بانكي</w:t>
            </w:r>
          </w:p>
        </w:tc>
        <w:tc>
          <w:tcPr>
            <w:tcW w:w="2340" w:type="dxa"/>
            <w:vAlign w:val="center"/>
            <w:hideMark/>
          </w:tcPr>
          <w:p w:rsidR="009D3F94" w:rsidRPr="00B87849" w:rsidRDefault="009D3F94" w:rsidP="006867DE">
            <w:pPr>
              <w:pStyle w:val="ListParagraph"/>
              <w:tabs>
                <w:tab w:val="left" w:pos="2142"/>
              </w:tabs>
              <w:spacing w:line="276" w:lineRule="auto"/>
              <w:jc w:val="center"/>
              <w:rPr>
                <w:rFonts w:ascii="Times New Roman" w:eastAsia="Times New Roman" w:hAnsi="Times New Roman" w:cs="B Nazanin"/>
                <w:sz w:val="24"/>
                <w:szCs w:val="24"/>
                <w:lang w:val="en-US" w:bidi="ar-SA"/>
              </w:rPr>
            </w:pPr>
            <w:r w:rsidRPr="00B87849">
              <w:rPr>
                <w:rFonts w:ascii="Times New Roman" w:eastAsia="Times New Roman" w:hAnsi="Times New Roman" w:cs="B Nazanin" w:hint="cs"/>
                <w:sz w:val="24"/>
                <w:szCs w:val="24"/>
                <w:rtl/>
                <w:lang w:val="en-US" w:bidi="ar-SA"/>
              </w:rPr>
              <w:t>3/1</w:t>
            </w:r>
          </w:p>
        </w:tc>
        <w:tc>
          <w:tcPr>
            <w:tcW w:w="2250" w:type="dxa"/>
            <w:vAlign w:val="center"/>
            <w:hideMark/>
          </w:tcPr>
          <w:p w:rsidR="009D3F94" w:rsidRPr="00B87849" w:rsidRDefault="009D3F94" w:rsidP="006867DE">
            <w:pPr>
              <w:pStyle w:val="ListParagraph"/>
              <w:tabs>
                <w:tab w:val="left" w:pos="2142"/>
              </w:tabs>
              <w:spacing w:line="276" w:lineRule="auto"/>
              <w:jc w:val="center"/>
              <w:rPr>
                <w:rFonts w:ascii="Times New Roman" w:eastAsia="Times New Roman" w:hAnsi="Times New Roman" w:cs="B Nazanin"/>
                <w:sz w:val="24"/>
                <w:szCs w:val="24"/>
                <w:lang w:val="en-US" w:bidi="ar-SA"/>
              </w:rPr>
            </w:pPr>
            <w:r w:rsidRPr="00B87849">
              <w:rPr>
                <w:rFonts w:ascii="Times New Roman" w:eastAsia="Times New Roman" w:hAnsi="Times New Roman" w:cs="B Nazanin"/>
                <w:sz w:val="24"/>
                <w:szCs w:val="24"/>
                <w:rtl/>
                <w:lang w:val="en-US" w:bidi="ar-SA"/>
              </w:rPr>
              <w:t>1</w:t>
            </w:r>
          </w:p>
        </w:tc>
      </w:tr>
      <w:tr w:rsidR="009D3F94" w:rsidRPr="00AF550D" w:rsidTr="006867DE">
        <w:trPr>
          <w:tblCellSpacing w:w="0" w:type="dxa"/>
        </w:trPr>
        <w:tc>
          <w:tcPr>
            <w:tcW w:w="4230" w:type="dxa"/>
            <w:vAlign w:val="center"/>
            <w:hideMark/>
          </w:tcPr>
          <w:p w:rsidR="009D3F94" w:rsidRPr="00B87849" w:rsidRDefault="009D3F94" w:rsidP="006867DE">
            <w:pPr>
              <w:pStyle w:val="ListParagraph"/>
              <w:tabs>
                <w:tab w:val="left" w:pos="2142"/>
              </w:tabs>
              <w:spacing w:line="276" w:lineRule="auto"/>
              <w:ind w:left="75" w:firstLine="0"/>
              <w:jc w:val="center"/>
              <w:rPr>
                <w:rFonts w:ascii="Times New Roman" w:eastAsia="Times New Roman" w:hAnsi="Times New Roman" w:cs="B Nazanin"/>
                <w:sz w:val="24"/>
                <w:szCs w:val="24"/>
                <w:lang w:val="en-US" w:bidi="ar-SA"/>
              </w:rPr>
            </w:pPr>
            <w:r w:rsidRPr="00B87849">
              <w:rPr>
                <w:rFonts w:ascii="Times New Roman" w:eastAsia="Times New Roman" w:hAnsi="Times New Roman" w:cs="B Nazanin"/>
                <w:sz w:val="24"/>
                <w:szCs w:val="24"/>
                <w:rtl/>
                <w:lang w:val="en-US" w:bidi="ar-SA"/>
              </w:rPr>
              <w:t>اسناد سپرده بانكي</w:t>
            </w:r>
          </w:p>
        </w:tc>
        <w:tc>
          <w:tcPr>
            <w:tcW w:w="2340" w:type="dxa"/>
            <w:vAlign w:val="center"/>
            <w:hideMark/>
          </w:tcPr>
          <w:p w:rsidR="009D3F94" w:rsidRPr="00B87849" w:rsidRDefault="009D3F94" w:rsidP="006867DE">
            <w:pPr>
              <w:pStyle w:val="ListParagraph"/>
              <w:tabs>
                <w:tab w:val="left" w:pos="2142"/>
              </w:tabs>
              <w:spacing w:line="276" w:lineRule="auto"/>
              <w:jc w:val="center"/>
              <w:rPr>
                <w:rFonts w:ascii="Times New Roman" w:eastAsia="Times New Roman" w:hAnsi="Times New Roman" w:cs="B Nazanin"/>
                <w:sz w:val="24"/>
                <w:szCs w:val="24"/>
                <w:lang w:val="en-US" w:bidi="ar-SA"/>
              </w:rPr>
            </w:pPr>
            <w:r w:rsidRPr="00B87849">
              <w:rPr>
                <w:rFonts w:ascii="Times New Roman" w:eastAsia="Times New Roman" w:hAnsi="Times New Roman" w:cs="B Nazanin"/>
                <w:sz w:val="24"/>
                <w:szCs w:val="24"/>
                <w:rtl/>
                <w:lang w:val="en-US" w:bidi="ar-SA"/>
              </w:rPr>
              <w:t>1</w:t>
            </w:r>
          </w:p>
        </w:tc>
        <w:tc>
          <w:tcPr>
            <w:tcW w:w="2250" w:type="dxa"/>
            <w:vAlign w:val="center"/>
            <w:hideMark/>
          </w:tcPr>
          <w:p w:rsidR="009D3F94" w:rsidRPr="00B87849" w:rsidRDefault="009D3F94" w:rsidP="006867DE">
            <w:pPr>
              <w:pStyle w:val="ListParagraph"/>
              <w:tabs>
                <w:tab w:val="left" w:pos="2142"/>
              </w:tabs>
              <w:spacing w:line="276" w:lineRule="auto"/>
              <w:jc w:val="center"/>
              <w:rPr>
                <w:rFonts w:ascii="Times New Roman" w:eastAsia="Times New Roman" w:hAnsi="Times New Roman" w:cs="B Nazanin"/>
                <w:sz w:val="24"/>
                <w:szCs w:val="24"/>
                <w:lang w:val="en-US" w:bidi="ar-SA"/>
              </w:rPr>
            </w:pPr>
            <w:r w:rsidRPr="00B87849">
              <w:rPr>
                <w:rFonts w:ascii="Times New Roman" w:eastAsia="Times New Roman" w:hAnsi="Times New Roman" w:cs="B Nazanin"/>
                <w:sz w:val="24"/>
                <w:szCs w:val="24"/>
                <w:rtl/>
                <w:lang w:val="en-US" w:bidi="ar-SA"/>
              </w:rPr>
              <w:t>-</w:t>
            </w:r>
          </w:p>
        </w:tc>
      </w:tr>
      <w:tr w:rsidR="004970D6" w:rsidRPr="00AF550D" w:rsidTr="006867DE">
        <w:trPr>
          <w:tblCellSpacing w:w="0" w:type="dxa"/>
        </w:trPr>
        <w:tc>
          <w:tcPr>
            <w:tcW w:w="4230" w:type="dxa"/>
            <w:vAlign w:val="center"/>
          </w:tcPr>
          <w:p w:rsidR="004970D6" w:rsidRPr="00B87849" w:rsidRDefault="004970D6" w:rsidP="006867DE">
            <w:pPr>
              <w:pStyle w:val="ListParagraph"/>
              <w:tabs>
                <w:tab w:val="left" w:pos="2142"/>
              </w:tabs>
              <w:spacing w:line="276" w:lineRule="auto"/>
              <w:ind w:left="75" w:firstLine="0"/>
              <w:jc w:val="center"/>
              <w:rPr>
                <w:rFonts w:ascii="Times New Roman" w:eastAsia="Times New Roman" w:hAnsi="Times New Roman" w:cs="B Nazanin"/>
                <w:sz w:val="24"/>
                <w:szCs w:val="24"/>
                <w:rtl/>
                <w:lang w:val="en-US" w:bidi="ar-SA"/>
              </w:rPr>
            </w:pPr>
            <w:r w:rsidRPr="00B87849">
              <w:rPr>
                <w:rFonts w:ascii="Times New Roman" w:eastAsia="Times New Roman" w:hAnsi="Times New Roman" w:cs="B Nazanin" w:hint="cs"/>
                <w:sz w:val="24"/>
                <w:szCs w:val="24"/>
                <w:rtl/>
                <w:lang w:val="en-US" w:bidi="ar-SA"/>
              </w:rPr>
              <w:t>واحدهای سرمایه</w:t>
            </w:r>
            <w:r w:rsidRPr="00B87849">
              <w:rPr>
                <w:rFonts w:ascii="Times New Roman" w:eastAsia="Times New Roman" w:hAnsi="Times New Roman" w:cs="B Nazanin"/>
                <w:sz w:val="24"/>
                <w:szCs w:val="24"/>
                <w:rtl/>
                <w:lang w:val="en-US" w:bidi="ar-SA"/>
              </w:rPr>
              <w:softHyphen/>
            </w:r>
            <w:r w:rsidRPr="00B87849">
              <w:rPr>
                <w:rFonts w:ascii="Times New Roman" w:eastAsia="Times New Roman" w:hAnsi="Times New Roman" w:cs="B Nazanin" w:hint="cs"/>
                <w:sz w:val="24"/>
                <w:szCs w:val="24"/>
                <w:rtl/>
                <w:lang w:val="en-US" w:bidi="ar-SA"/>
              </w:rPr>
              <w:t>گذاری عادی صندوق با درآمد ثابت قابل معامله (</w:t>
            </w:r>
            <w:r w:rsidRPr="00B87849">
              <w:rPr>
                <w:rFonts w:ascii="Times New Roman" w:eastAsia="Times New Roman" w:hAnsi="Times New Roman" w:cs="B Nazanin"/>
                <w:sz w:val="24"/>
                <w:szCs w:val="24"/>
                <w:lang w:val="en-US" w:bidi="ar-SA"/>
              </w:rPr>
              <w:t>ETF</w:t>
            </w:r>
            <w:r w:rsidRPr="00B87849">
              <w:rPr>
                <w:rFonts w:ascii="Times New Roman" w:eastAsia="Times New Roman" w:hAnsi="Times New Roman" w:cs="B Nazanin" w:hint="cs"/>
                <w:sz w:val="24"/>
                <w:szCs w:val="24"/>
                <w:rtl/>
                <w:lang w:val="en-US" w:bidi="ar-SA"/>
              </w:rPr>
              <w:t>)</w:t>
            </w:r>
          </w:p>
        </w:tc>
        <w:tc>
          <w:tcPr>
            <w:tcW w:w="2340" w:type="dxa"/>
            <w:vAlign w:val="center"/>
          </w:tcPr>
          <w:p w:rsidR="004970D6" w:rsidRPr="00B87849" w:rsidRDefault="004970D6" w:rsidP="006867DE">
            <w:pPr>
              <w:pStyle w:val="ListParagraph"/>
              <w:tabs>
                <w:tab w:val="left" w:pos="2142"/>
              </w:tabs>
              <w:spacing w:line="276" w:lineRule="auto"/>
              <w:jc w:val="center"/>
              <w:rPr>
                <w:rFonts w:ascii="Times New Roman" w:eastAsia="Times New Roman" w:hAnsi="Times New Roman" w:cs="B Nazanin"/>
                <w:sz w:val="24"/>
                <w:szCs w:val="24"/>
                <w:rtl/>
                <w:lang w:val="en-US" w:bidi="ar-SA"/>
              </w:rPr>
            </w:pPr>
            <w:r w:rsidRPr="00B87849">
              <w:rPr>
                <w:rFonts w:ascii="Times New Roman" w:eastAsia="Times New Roman" w:hAnsi="Times New Roman" w:cs="B Nazanin" w:hint="cs"/>
                <w:sz w:val="24"/>
                <w:szCs w:val="24"/>
                <w:rtl/>
                <w:lang w:val="en-US" w:bidi="ar-SA"/>
              </w:rPr>
              <w:t>3/1</w:t>
            </w:r>
          </w:p>
        </w:tc>
        <w:tc>
          <w:tcPr>
            <w:tcW w:w="2250" w:type="dxa"/>
            <w:vAlign w:val="center"/>
          </w:tcPr>
          <w:p w:rsidR="004970D6" w:rsidRPr="00B87849" w:rsidRDefault="004970D6" w:rsidP="006867DE">
            <w:pPr>
              <w:pStyle w:val="ListParagraph"/>
              <w:tabs>
                <w:tab w:val="left" w:pos="2142"/>
              </w:tabs>
              <w:spacing w:line="276" w:lineRule="auto"/>
              <w:jc w:val="center"/>
              <w:rPr>
                <w:rFonts w:ascii="Times New Roman" w:eastAsia="Times New Roman" w:hAnsi="Times New Roman" w:cs="B Nazanin"/>
                <w:sz w:val="24"/>
                <w:szCs w:val="24"/>
                <w:rtl/>
                <w:lang w:val="en-US" w:bidi="ar-SA"/>
              </w:rPr>
            </w:pPr>
            <w:r w:rsidRPr="00B87849">
              <w:rPr>
                <w:rFonts w:ascii="Times New Roman" w:eastAsia="Times New Roman" w:hAnsi="Times New Roman" w:cs="B Nazanin" w:hint="cs"/>
                <w:sz w:val="24"/>
                <w:szCs w:val="24"/>
                <w:rtl/>
                <w:lang w:val="en-US" w:bidi="ar-SA"/>
              </w:rPr>
              <w:t>2/1</w:t>
            </w:r>
          </w:p>
        </w:tc>
      </w:tr>
      <w:tr w:rsidR="004970D6" w:rsidRPr="00AF550D" w:rsidTr="006867DE">
        <w:trPr>
          <w:tblCellSpacing w:w="0" w:type="dxa"/>
        </w:trPr>
        <w:tc>
          <w:tcPr>
            <w:tcW w:w="4230" w:type="dxa"/>
            <w:vAlign w:val="center"/>
          </w:tcPr>
          <w:p w:rsidR="004970D6" w:rsidRPr="00B87849" w:rsidRDefault="004970D6" w:rsidP="004970D6">
            <w:pPr>
              <w:bidi/>
              <w:ind w:left="5"/>
              <w:contextualSpacing/>
              <w:jc w:val="center"/>
              <w:rPr>
                <w:rFonts w:ascii="Times New Roman" w:eastAsia="Times New Roman" w:hAnsi="Times New Roman" w:cs="B Nazanin"/>
                <w:sz w:val="24"/>
                <w:szCs w:val="24"/>
                <w:rtl/>
              </w:rPr>
            </w:pPr>
            <w:r w:rsidRPr="00B87849">
              <w:rPr>
                <w:rFonts w:ascii="Times New Roman" w:eastAsia="Times New Roman" w:hAnsi="Times New Roman" w:cs="B Nazanin" w:hint="cs"/>
                <w:sz w:val="24"/>
                <w:szCs w:val="24"/>
                <w:rtl/>
              </w:rPr>
              <w:t>واحدهای سرمایه</w:t>
            </w:r>
            <w:r w:rsidRPr="00B87849">
              <w:rPr>
                <w:rFonts w:ascii="Times New Roman" w:eastAsia="Times New Roman" w:hAnsi="Times New Roman" w:cs="B Nazanin"/>
                <w:sz w:val="24"/>
                <w:szCs w:val="24"/>
                <w:rtl/>
              </w:rPr>
              <w:softHyphen/>
            </w:r>
            <w:r w:rsidRPr="00B87849">
              <w:rPr>
                <w:rFonts w:ascii="Times New Roman" w:eastAsia="Times New Roman" w:hAnsi="Times New Roman" w:cs="B Nazanin" w:hint="cs"/>
                <w:sz w:val="24"/>
                <w:szCs w:val="24"/>
                <w:rtl/>
              </w:rPr>
              <w:t>گذاری عادی صندوق</w:t>
            </w:r>
            <w:r w:rsidRPr="00B87849">
              <w:rPr>
                <w:rFonts w:ascii="Times New Roman" w:eastAsia="Times New Roman" w:hAnsi="Times New Roman" w:cs="B Nazanin"/>
                <w:sz w:val="24"/>
                <w:szCs w:val="24"/>
                <w:rtl/>
              </w:rPr>
              <w:softHyphen/>
            </w:r>
            <w:r w:rsidRPr="00B87849">
              <w:rPr>
                <w:rFonts w:ascii="Times New Roman" w:eastAsia="Times New Roman" w:hAnsi="Times New Roman" w:cs="B Nazanin" w:hint="cs"/>
                <w:sz w:val="24"/>
                <w:szCs w:val="24"/>
                <w:rtl/>
              </w:rPr>
              <w:t>های مختلط، سهامی و</w:t>
            </w:r>
          </w:p>
          <w:p w:rsidR="004970D6" w:rsidRPr="00B87849" w:rsidRDefault="004970D6" w:rsidP="004970D6">
            <w:pPr>
              <w:pStyle w:val="ListParagraph"/>
              <w:tabs>
                <w:tab w:val="left" w:pos="2142"/>
              </w:tabs>
              <w:spacing w:line="276" w:lineRule="auto"/>
              <w:ind w:left="75" w:firstLine="0"/>
              <w:jc w:val="center"/>
              <w:rPr>
                <w:rFonts w:ascii="Times New Roman" w:eastAsia="Times New Roman" w:hAnsi="Times New Roman" w:cs="B Nazanin"/>
                <w:sz w:val="24"/>
                <w:szCs w:val="24"/>
                <w:rtl/>
                <w:lang w:val="en-US" w:bidi="ar-SA"/>
              </w:rPr>
            </w:pPr>
            <w:r w:rsidRPr="00B87849">
              <w:rPr>
                <w:rFonts w:ascii="Times New Roman" w:eastAsia="Times New Roman" w:hAnsi="Times New Roman" w:cs="B Nazanin" w:hint="cs"/>
                <w:sz w:val="24"/>
                <w:szCs w:val="24"/>
                <w:rtl/>
                <w:lang w:val="en-US" w:bidi="ar-SA"/>
              </w:rPr>
              <w:t>در اوراق بهادار مبتنی بر کالا قابل معامله (</w:t>
            </w:r>
            <w:r w:rsidRPr="00B87849">
              <w:rPr>
                <w:rFonts w:ascii="Times New Roman" w:eastAsia="Times New Roman" w:hAnsi="Times New Roman" w:cs="B Nazanin"/>
                <w:sz w:val="24"/>
                <w:szCs w:val="24"/>
                <w:lang w:val="en-US" w:bidi="ar-SA"/>
              </w:rPr>
              <w:t>ETF</w:t>
            </w:r>
            <w:r w:rsidRPr="00B87849">
              <w:rPr>
                <w:rFonts w:ascii="Times New Roman" w:eastAsia="Times New Roman" w:hAnsi="Times New Roman" w:cs="B Nazanin" w:hint="cs"/>
                <w:sz w:val="24"/>
                <w:szCs w:val="24"/>
                <w:rtl/>
                <w:lang w:val="en-US" w:bidi="ar-SA"/>
              </w:rPr>
              <w:t>)</w:t>
            </w:r>
          </w:p>
        </w:tc>
        <w:tc>
          <w:tcPr>
            <w:tcW w:w="2340" w:type="dxa"/>
            <w:vAlign w:val="center"/>
          </w:tcPr>
          <w:p w:rsidR="004970D6" w:rsidRPr="00B87849" w:rsidRDefault="004970D6" w:rsidP="006867DE">
            <w:pPr>
              <w:pStyle w:val="ListParagraph"/>
              <w:tabs>
                <w:tab w:val="left" w:pos="2142"/>
              </w:tabs>
              <w:spacing w:line="276" w:lineRule="auto"/>
              <w:jc w:val="center"/>
              <w:rPr>
                <w:rFonts w:ascii="Times New Roman" w:eastAsia="Times New Roman" w:hAnsi="Times New Roman" w:cs="B Nazanin"/>
                <w:sz w:val="24"/>
                <w:szCs w:val="24"/>
                <w:rtl/>
                <w:lang w:val="en-US" w:bidi="ar-SA"/>
              </w:rPr>
            </w:pPr>
            <w:r w:rsidRPr="00B87849">
              <w:rPr>
                <w:rFonts w:ascii="Times New Roman" w:eastAsia="Times New Roman" w:hAnsi="Times New Roman" w:cs="B Nazanin" w:hint="cs"/>
                <w:sz w:val="24"/>
                <w:szCs w:val="24"/>
                <w:rtl/>
                <w:lang w:val="en-US" w:bidi="ar-SA"/>
              </w:rPr>
              <w:t>5/1</w:t>
            </w:r>
          </w:p>
        </w:tc>
        <w:tc>
          <w:tcPr>
            <w:tcW w:w="2250" w:type="dxa"/>
            <w:vAlign w:val="center"/>
          </w:tcPr>
          <w:p w:rsidR="004970D6" w:rsidRPr="00B87849" w:rsidRDefault="004970D6" w:rsidP="006867DE">
            <w:pPr>
              <w:pStyle w:val="ListParagraph"/>
              <w:tabs>
                <w:tab w:val="left" w:pos="2142"/>
              </w:tabs>
              <w:spacing w:line="276" w:lineRule="auto"/>
              <w:jc w:val="center"/>
              <w:rPr>
                <w:rFonts w:ascii="Times New Roman" w:eastAsia="Times New Roman" w:hAnsi="Times New Roman" w:cs="B Nazanin"/>
                <w:sz w:val="24"/>
                <w:szCs w:val="24"/>
                <w:rtl/>
                <w:lang w:val="en-US" w:bidi="ar-SA"/>
              </w:rPr>
            </w:pPr>
            <w:r w:rsidRPr="00B87849">
              <w:rPr>
                <w:rFonts w:ascii="Times New Roman" w:eastAsia="Times New Roman" w:hAnsi="Times New Roman" w:cs="B Nazanin" w:hint="cs"/>
                <w:sz w:val="24"/>
                <w:szCs w:val="24"/>
                <w:rtl/>
                <w:lang w:val="en-US" w:bidi="ar-SA"/>
              </w:rPr>
              <w:t>3/1</w:t>
            </w:r>
          </w:p>
        </w:tc>
      </w:tr>
    </w:tbl>
    <w:p w:rsidR="009D3F94" w:rsidRDefault="004C3A62" w:rsidP="009D3F94">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tl/>
        </w:rPr>
      </w:pPr>
      <w:r w:rsidRPr="004C3A62">
        <w:rPr>
          <w:rFonts w:ascii="Times New Roman" w:eastAsia="Times New Roman" w:hAnsi="Times New Roman" w:cs="B Nazanin"/>
          <w:sz w:val="24"/>
          <w:szCs w:val="24"/>
        </w:rPr>
        <w:t>  </w:t>
      </w:r>
    </w:p>
    <w:p w:rsidR="00B616A8" w:rsidRPr="004C3A62" w:rsidRDefault="00B616A8" w:rsidP="00B616A8">
      <w:pPr>
        <w:numPr>
          <w:ilvl w:val="2"/>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بند </w:t>
      </w:r>
      <w:r>
        <w:rPr>
          <w:rFonts w:ascii="Times New Roman" w:eastAsia="Times New Roman" w:hAnsi="Times New Roman" w:cs="B Nazanin" w:hint="cs"/>
          <w:b/>
          <w:bCs/>
          <w:sz w:val="24"/>
          <w:szCs w:val="24"/>
          <w:rtl/>
        </w:rPr>
        <w:t>2</w:t>
      </w:r>
      <w:r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 xml:space="preserve">سهام معرفي شده براي </w:t>
      </w:r>
      <w:proofErr w:type="gramStart"/>
      <w:r w:rsidRPr="004C3A62">
        <w:rPr>
          <w:rFonts w:ascii="Times New Roman" w:eastAsia="Times New Roman" w:hAnsi="Times New Roman" w:cs="B Nazanin"/>
          <w:sz w:val="24"/>
          <w:szCs w:val="24"/>
          <w:rtl/>
        </w:rPr>
        <w:t>وثيقه</w:t>
      </w:r>
      <w:proofErr w:type="gramEnd"/>
      <w:r w:rsidRPr="004C3A62">
        <w:rPr>
          <w:rFonts w:ascii="Times New Roman" w:eastAsia="Times New Roman" w:hAnsi="Times New Roman" w:cs="B Nazanin"/>
          <w:sz w:val="24"/>
          <w:szCs w:val="24"/>
          <w:rtl/>
        </w:rPr>
        <w:t>، حداقل معادل 80 درصد روزهاي معاملاتي بازار در يك سال منتهي به تاريخ درخواست، معامله شده باشد</w:t>
      </w:r>
      <w:r w:rsidRPr="004C3A62">
        <w:rPr>
          <w:rFonts w:ascii="Times New Roman" w:eastAsia="Times New Roman" w:hAnsi="Times New Roman" w:cs="B Nazanin"/>
          <w:sz w:val="24"/>
          <w:szCs w:val="24"/>
        </w:rPr>
        <w:t xml:space="preserve">. </w:t>
      </w:r>
    </w:p>
    <w:p w:rsidR="004C3A62" w:rsidRPr="004C3A62" w:rsidRDefault="004C3A62" w:rsidP="009D3F94">
      <w:pPr>
        <w:numPr>
          <w:ilvl w:val="2"/>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بند </w:t>
      </w:r>
      <w:r w:rsidR="009D3F94">
        <w:rPr>
          <w:rFonts w:ascii="Times New Roman" w:eastAsia="Times New Roman" w:hAnsi="Times New Roman" w:cs="B Nazanin" w:hint="cs"/>
          <w:b/>
          <w:bCs/>
          <w:sz w:val="24"/>
          <w:szCs w:val="24"/>
          <w:rtl/>
        </w:rPr>
        <w:t>3</w:t>
      </w:r>
      <w:r w:rsidRPr="004C3A62">
        <w:rPr>
          <w:rFonts w:ascii="Times New Roman" w:eastAsia="Times New Roman" w:hAnsi="Times New Roman" w:cs="B Nazanin"/>
          <w:b/>
          <w:bCs/>
          <w:sz w:val="24"/>
          <w:szCs w:val="24"/>
        </w:rPr>
        <w:t xml:space="preserve">: </w:t>
      </w:r>
    </w:p>
    <w:p w:rsid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tl/>
        </w:rPr>
      </w:pPr>
      <w:r w:rsidRPr="004C3A62">
        <w:rPr>
          <w:rFonts w:ascii="Times New Roman" w:eastAsia="Times New Roman" w:hAnsi="Times New Roman" w:cs="B Nazanin"/>
          <w:sz w:val="24"/>
          <w:szCs w:val="24"/>
          <w:rtl/>
        </w:rPr>
        <w:t xml:space="preserve">اوراق مذكور به نفع نهاد واسط توثيق گشته </w:t>
      </w:r>
      <w:proofErr w:type="gramStart"/>
      <w:r w:rsidRPr="004C3A62">
        <w:rPr>
          <w:rFonts w:ascii="Times New Roman" w:eastAsia="Times New Roman" w:hAnsi="Times New Roman" w:cs="B Nazanin"/>
          <w:sz w:val="24"/>
          <w:szCs w:val="24"/>
          <w:rtl/>
        </w:rPr>
        <w:t>و مالك</w:t>
      </w:r>
      <w:proofErr w:type="gramEnd"/>
      <w:r w:rsidRPr="004C3A62">
        <w:rPr>
          <w:rFonts w:ascii="Times New Roman" w:eastAsia="Times New Roman" w:hAnsi="Times New Roman" w:cs="B Nazanin"/>
          <w:sz w:val="24"/>
          <w:szCs w:val="24"/>
          <w:rtl/>
        </w:rPr>
        <w:t xml:space="preserve"> وثيقه نسبت به اعطاي وكالت با اختيار فروش وثيقه به نهاد واسط به صورت بلاعزل تام الاختيار با حق توكيل به غير و با سلب حق انجام موضوع وكالت از خود تا پايان ايفاي تعهدات مرتبط با اوراق بهادار منتشره اقدام كرده باشد</w:t>
      </w:r>
      <w:r w:rsidRPr="004C3A62">
        <w:rPr>
          <w:rFonts w:ascii="Times New Roman" w:eastAsia="Times New Roman" w:hAnsi="Times New Roman" w:cs="B Nazanin"/>
          <w:sz w:val="24"/>
          <w:szCs w:val="24"/>
        </w:rPr>
        <w:t xml:space="preserve">. </w:t>
      </w:r>
    </w:p>
    <w:p w:rsidR="00B616A8" w:rsidRDefault="00B616A8" w:rsidP="00B616A8">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tl/>
        </w:rPr>
      </w:pPr>
    </w:p>
    <w:p w:rsidR="00B616A8" w:rsidRDefault="00B616A8" w:rsidP="00B616A8">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tl/>
        </w:rPr>
      </w:pPr>
    </w:p>
    <w:p w:rsidR="00B616A8" w:rsidRPr="00B616A8" w:rsidRDefault="00B616A8" w:rsidP="00B616A8">
      <w:pPr>
        <w:numPr>
          <w:ilvl w:val="2"/>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lastRenderedPageBreak/>
        <w:t xml:space="preserve">بند </w:t>
      </w:r>
      <w:r>
        <w:rPr>
          <w:rFonts w:ascii="Times New Roman" w:eastAsia="Times New Roman" w:hAnsi="Times New Roman" w:cs="B Nazanin" w:hint="cs"/>
          <w:b/>
          <w:bCs/>
          <w:sz w:val="24"/>
          <w:szCs w:val="24"/>
          <w:rtl/>
        </w:rPr>
        <w:t>4</w:t>
      </w:r>
      <w:r w:rsidRPr="004C3A62">
        <w:rPr>
          <w:rFonts w:ascii="Times New Roman" w:eastAsia="Times New Roman" w:hAnsi="Times New Roman" w:cs="B Nazanin"/>
          <w:b/>
          <w:bCs/>
          <w:sz w:val="24"/>
          <w:szCs w:val="24"/>
        </w:rPr>
        <w:t xml:space="preserve">: </w:t>
      </w:r>
    </w:p>
    <w:p w:rsidR="009D3F94" w:rsidRPr="004C3A62" w:rsidRDefault="00B616A8" w:rsidP="00B616A8">
      <w:pPr>
        <w:tabs>
          <w:tab w:val="num" w:pos="2160"/>
        </w:tabs>
        <w:bidi/>
        <w:spacing w:before="100" w:beforeAutospacing="1" w:after="100" w:afterAutospacing="1" w:line="240" w:lineRule="auto"/>
        <w:ind w:left="-360"/>
        <w:jc w:val="lowKashida"/>
        <w:rPr>
          <w:rFonts w:ascii="Times New Roman" w:eastAsia="Times New Roman" w:hAnsi="Times New Roman" w:cs="B Nazanin"/>
          <w:sz w:val="24"/>
          <w:szCs w:val="24"/>
        </w:rPr>
      </w:pPr>
      <w:proofErr w:type="gramStart"/>
      <w:r w:rsidRPr="00B616A8">
        <w:rPr>
          <w:rFonts w:ascii="Times New Roman" w:eastAsia="Times New Roman" w:hAnsi="Times New Roman" w:cs="B Nazanin" w:hint="cs"/>
          <w:sz w:val="24"/>
          <w:szCs w:val="24"/>
          <w:rtl/>
        </w:rPr>
        <w:t>جهت</w:t>
      </w:r>
      <w:proofErr w:type="gramEnd"/>
      <w:r w:rsidRPr="00B616A8">
        <w:rPr>
          <w:rFonts w:ascii="Times New Roman" w:eastAsia="Times New Roman" w:hAnsi="Times New Roman" w:cs="B Nazanin" w:hint="cs"/>
          <w:sz w:val="24"/>
          <w:szCs w:val="24"/>
          <w:rtl/>
        </w:rPr>
        <w:t xml:space="preserve"> توثیق اوراق بهادار پذیرفته</w:t>
      </w:r>
      <w:r w:rsidRPr="00B616A8">
        <w:rPr>
          <w:rFonts w:ascii="Times New Roman" w:eastAsia="Times New Roman" w:hAnsi="Times New Roman" w:cs="B Nazanin"/>
          <w:sz w:val="24"/>
          <w:szCs w:val="24"/>
          <w:rtl/>
        </w:rPr>
        <w:softHyphen/>
      </w:r>
      <w:r w:rsidRPr="00B616A8">
        <w:rPr>
          <w:rFonts w:ascii="Times New Roman" w:eastAsia="Times New Roman" w:hAnsi="Times New Roman" w:cs="B Nazanin" w:hint="cs"/>
          <w:sz w:val="24"/>
          <w:szCs w:val="24"/>
          <w:rtl/>
        </w:rPr>
        <w:t>شده در بورس و فرابورس، پرتفوی وثیقه</w:t>
      </w:r>
      <w:r w:rsidRPr="00B616A8">
        <w:rPr>
          <w:rFonts w:ascii="Times New Roman" w:eastAsia="Times New Roman" w:hAnsi="Times New Roman" w:cs="B Nazanin"/>
          <w:sz w:val="24"/>
          <w:szCs w:val="24"/>
          <w:rtl/>
        </w:rPr>
        <w:softHyphen/>
      </w:r>
      <w:r w:rsidRPr="00B616A8">
        <w:rPr>
          <w:rFonts w:ascii="Times New Roman" w:eastAsia="Times New Roman" w:hAnsi="Times New Roman" w:cs="B Nazanin" w:hint="cs"/>
          <w:sz w:val="24"/>
          <w:szCs w:val="24"/>
          <w:rtl/>
        </w:rPr>
        <w:t>شده باید حداقل متشکل از دو سهم/ورقه بهادار باشد و ارزش هیچ کدام نباید بیشتر از 70 درصد کل وثیقه اخذشده باشد. در صورتی</w:t>
      </w:r>
      <w:r w:rsidRPr="00B616A8">
        <w:rPr>
          <w:rFonts w:ascii="Times New Roman" w:eastAsia="Times New Roman" w:hAnsi="Times New Roman" w:cs="B Nazanin"/>
          <w:sz w:val="24"/>
          <w:szCs w:val="24"/>
          <w:rtl/>
        </w:rPr>
        <w:softHyphen/>
      </w:r>
      <w:r w:rsidRPr="00B616A8">
        <w:rPr>
          <w:rFonts w:ascii="Times New Roman" w:eastAsia="Times New Roman" w:hAnsi="Times New Roman" w:cs="B Nazanin" w:hint="cs"/>
          <w:sz w:val="24"/>
          <w:szCs w:val="24"/>
          <w:rtl/>
        </w:rPr>
        <w:t>که سهم مبنای انتشار اوراق با سهم وثیقه</w:t>
      </w:r>
      <w:r w:rsidRPr="00B616A8">
        <w:rPr>
          <w:rFonts w:ascii="Times New Roman" w:eastAsia="Times New Roman" w:hAnsi="Times New Roman" w:cs="B Nazanin"/>
          <w:sz w:val="24"/>
          <w:szCs w:val="24"/>
          <w:rtl/>
        </w:rPr>
        <w:softHyphen/>
      </w:r>
      <w:r w:rsidRPr="00B616A8">
        <w:rPr>
          <w:rFonts w:ascii="Times New Roman" w:eastAsia="Times New Roman" w:hAnsi="Times New Roman" w:cs="B Nazanin" w:hint="cs"/>
          <w:sz w:val="24"/>
          <w:szCs w:val="24"/>
          <w:rtl/>
        </w:rPr>
        <w:t>شده یکسان باشد، این نسبت به 50 درصد تقلیل می</w:t>
      </w:r>
      <w:r w:rsidRPr="00B616A8">
        <w:rPr>
          <w:rFonts w:ascii="Times New Roman" w:eastAsia="Times New Roman" w:hAnsi="Times New Roman" w:cs="B Nazanin"/>
          <w:sz w:val="24"/>
          <w:szCs w:val="24"/>
          <w:rtl/>
        </w:rPr>
        <w:softHyphen/>
      </w:r>
      <w:r w:rsidRPr="00B616A8">
        <w:rPr>
          <w:rFonts w:ascii="Times New Roman" w:eastAsia="Times New Roman" w:hAnsi="Times New Roman" w:cs="B Nazanin" w:hint="cs"/>
          <w:sz w:val="24"/>
          <w:szCs w:val="24"/>
          <w:rtl/>
        </w:rPr>
        <w:t>یابد.</w:t>
      </w:r>
    </w:p>
    <w:p w:rsidR="004C3A62" w:rsidRPr="004C3A62" w:rsidRDefault="004C3A62" w:rsidP="009D3F94">
      <w:pPr>
        <w:numPr>
          <w:ilvl w:val="2"/>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تبصره </w:t>
      </w:r>
      <w:r w:rsidR="009D3F94">
        <w:rPr>
          <w:rFonts w:ascii="Times New Roman" w:eastAsia="Times New Roman" w:hAnsi="Times New Roman" w:cs="B Nazanin" w:hint="cs"/>
          <w:b/>
          <w:bCs/>
          <w:sz w:val="24"/>
          <w:szCs w:val="24"/>
          <w:rtl/>
        </w:rPr>
        <w:t>1</w:t>
      </w:r>
      <w:r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 xml:space="preserve">رفع توثيق اوراق يادشده متناسب با تعهدات ايفا شده يا پس از تصفيۀ كامل اوراق با اخذ مجوز از سازمان بورس </w:t>
      </w:r>
      <w:proofErr w:type="gramStart"/>
      <w:r w:rsidRPr="004C3A62">
        <w:rPr>
          <w:rFonts w:ascii="Times New Roman" w:eastAsia="Times New Roman" w:hAnsi="Times New Roman" w:cs="B Nazanin"/>
          <w:sz w:val="24"/>
          <w:szCs w:val="24"/>
          <w:rtl/>
        </w:rPr>
        <w:t>و اوراق</w:t>
      </w:r>
      <w:proofErr w:type="gramEnd"/>
      <w:r w:rsidRPr="004C3A62">
        <w:rPr>
          <w:rFonts w:ascii="Times New Roman" w:eastAsia="Times New Roman" w:hAnsi="Times New Roman" w:cs="B Nazanin"/>
          <w:sz w:val="24"/>
          <w:szCs w:val="24"/>
          <w:rtl/>
        </w:rPr>
        <w:t xml:space="preserve"> بهادار امكانپذير است</w:t>
      </w:r>
      <w:r w:rsidRPr="004C3A62">
        <w:rPr>
          <w:rFonts w:ascii="Times New Roman" w:eastAsia="Times New Roman" w:hAnsi="Times New Roman" w:cs="B Nazanin"/>
          <w:sz w:val="24"/>
          <w:szCs w:val="24"/>
        </w:rPr>
        <w:t xml:space="preserve">. </w:t>
      </w:r>
    </w:p>
    <w:p w:rsidR="004C3A62" w:rsidRPr="004C3A62" w:rsidRDefault="004C3A62" w:rsidP="009D3F94">
      <w:pPr>
        <w:numPr>
          <w:ilvl w:val="2"/>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تبصره </w:t>
      </w:r>
      <w:r w:rsidR="009D3F94">
        <w:rPr>
          <w:rFonts w:ascii="Times New Roman" w:eastAsia="Times New Roman" w:hAnsi="Times New Roman" w:cs="B Nazanin" w:hint="cs"/>
          <w:b/>
          <w:bCs/>
          <w:sz w:val="24"/>
          <w:szCs w:val="24"/>
          <w:rtl/>
        </w:rPr>
        <w:t>2</w:t>
      </w:r>
      <w:r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در صورتي‌كه وثايق ارائه شده توسط باني براي تضمين كل تعهدات كافي نباشد، تضمين باقيمانده تعهدات توسط ضامن امكان‌پذير است</w:t>
      </w:r>
      <w:r w:rsidRPr="004C3A62">
        <w:rPr>
          <w:rFonts w:ascii="Times New Roman" w:eastAsia="Times New Roman" w:hAnsi="Times New Roman" w:cs="B Nazanin"/>
          <w:sz w:val="24"/>
          <w:szCs w:val="24"/>
        </w:rPr>
        <w:t xml:space="preserve">. </w:t>
      </w:r>
    </w:p>
    <w:p w:rsidR="004C3A62" w:rsidRPr="004C3A62" w:rsidRDefault="004C3A62" w:rsidP="009D3F94">
      <w:pPr>
        <w:numPr>
          <w:ilvl w:val="2"/>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تبصره </w:t>
      </w:r>
      <w:r w:rsidR="009D3F94">
        <w:rPr>
          <w:rFonts w:ascii="Times New Roman" w:eastAsia="Times New Roman" w:hAnsi="Times New Roman" w:cs="B Nazanin" w:hint="cs"/>
          <w:b/>
          <w:bCs/>
          <w:sz w:val="24"/>
          <w:szCs w:val="24"/>
          <w:rtl/>
        </w:rPr>
        <w:t>3</w:t>
      </w:r>
      <w:r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 xml:space="preserve">درصورت عدم ايفاي تعهدات مالي باني در خصوص اوراق بهادار منتشره </w:t>
      </w:r>
      <w:proofErr w:type="gramStart"/>
      <w:r w:rsidRPr="004C3A62">
        <w:rPr>
          <w:rFonts w:ascii="Times New Roman" w:eastAsia="Times New Roman" w:hAnsi="Times New Roman" w:cs="B Nazanin"/>
          <w:sz w:val="24"/>
          <w:szCs w:val="24"/>
          <w:rtl/>
        </w:rPr>
        <w:t>و گذشت</w:t>
      </w:r>
      <w:proofErr w:type="gramEnd"/>
      <w:r w:rsidRPr="004C3A62">
        <w:rPr>
          <w:rFonts w:ascii="Times New Roman" w:eastAsia="Times New Roman" w:hAnsi="Times New Roman" w:cs="B Nazanin"/>
          <w:sz w:val="24"/>
          <w:szCs w:val="24"/>
          <w:rtl/>
        </w:rPr>
        <w:t xml:space="preserve"> 10 روزكاري از مواعد مقرر، نهاد واسط موظف است نسبت به فروش وثايق به ميزان تعهدات ايفا نشده و جرايم مربوطه اقدام و تعهدات باني را از اين محل ايفا نموده و مراتب را به سازمان اعلام نمايد</w:t>
      </w:r>
      <w:r w:rsidRPr="004C3A62">
        <w:rPr>
          <w:rFonts w:ascii="Times New Roman" w:eastAsia="Times New Roman" w:hAnsi="Times New Roman" w:cs="B Nazanin"/>
          <w:sz w:val="24"/>
          <w:szCs w:val="24"/>
        </w:rPr>
        <w:t xml:space="preserve">. </w:t>
      </w:r>
    </w:p>
    <w:p w:rsidR="004C3A62" w:rsidRPr="004C3A62" w:rsidRDefault="004C3A62" w:rsidP="009D3F94">
      <w:pPr>
        <w:numPr>
          <w:ilvl w:val="2"/>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تبصره </w:t>
      </w:r>
      <w:r w:rsidR="009D3F94">
        <w:rPr>
          <w:rFonts w:ascii="Times New Roman" w:eastAsia="Times New Roman" w:hAnsi="Times New Roman" w:cs="B Nazanin" w:hint="cs"/>
          <w:b/>
          <w:bCs/>
          <w:sz w:val="24"/>
          <w:szCs w:val="24"/>
          <w:rtl/>
        </w:rPr>
        <w:t>4</w:t>
      </w:r>
      <w:r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عدم ايفاي تعهدات توسط باني كه باعث رجوع به وثايق گردد، منجر به محروميت باني از استفاده از امكان پيش بيني شده در اين ماده به مدت دو سال مي‌گردد</w:t>
      </w:r>
      <w:r w:rsidRPr="004C3A62">
        <w:rPr>
          <w:rFonts w:ascii="Times New Roman" w:eastAsia="Times New Roman" w:hAnsi="Times New Roman" w:cs="B Nazanin"/>
          <w:sz w:val="24"/>
          <w:szCs w:val="24"/>
        </w:rPr>
        <w:t xml:space="preserve">. </w:t>
      </w:r>
    </w:p>
    <w:p w:rsidR="004C3A62" w:rsidRPr="004C3A62" w:rsidRDefault="004C3A62" w:rsidP="009D3F94">
      <w:pPr>
        <w:numPr>
          <w:ilvl w:val="2"/>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تبصره </w:t>
      </w:r>
      <w:r w:rsidR="009D3F94">
        <w:rPr>
          <w:rFonts w:ascii="Times New Roman" w:eastAsia="Times New Roman" w:hAnsi="Times New Roman" w:cs="B Nazanin" w:hint="cs"/>
          <w:b/>
          <w:bCs/>
          <w:sz w:val="24"/>
          <w:szCs w:val="24"/>
          <w:rtl/>
        </w:rPr>
        <w:t>5</w:t>
      </w:r>
      <w:r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 xml:space="preserve">ارزش </w:t>
      </w:r>
      <w:proofErr w:type="gramStart"/>
      <w:r w:rsidRPr="004C3A62">
        <w:rPr>
          <w:rFonts w:ascii="Times New Roman" w:eastAsia="Times New Roman" w:hAnsi="Times New Roman" w:cs="B Nazanin"/>
          <w:sz w:val="24"/>
          <w:szCs w:val="24"/>
          <w:rtl/>
        </w:rPr>
        <w:t>وثيقه</w:t>
      </w:r>
      <w:proofErr w:type="gramEnd"/>
      <w:r w:rsidRPr="004C3A62">
        <w:rPr>
          <w:rFonts w:ascii="Times New Roman" w:eastAsia="Times New Roman" w:hAnsi="Times New Roman" w:cs="B Nazanin"/>
          <w:sz w:val="24"/>
          <w:szCs w:val="24"/>
          <w:rtl/>
        </w:rPr>
        <w:t xml:space="preserve"> با احتساب ميانگين 6 ماهه قيمت اوراق‌بهادار محاسبه مي شود و در صورتي كه متوسط ارزش وثيقه به مدت 5 روز معاملاتي پياپي تا حد تعيين شده جهت جبران وثيقه كاهش يابد، باني مكلف به جبران آن تا سقف اوليه ظرف مدت ده روز كاري است. درصورت </w:t>
      </w:r>
      <w:proofErr w:type="gramStart"/>
      <w:r w:rsidRPr="004C3A62">
        <w:rPr>
          <w:rFonts w:ascii="Times New Roman" w:eastAsia="Times New Roman" w:hAnsi="Times New Roman" w:cs="B Nazanin"/>
          <w:sz w:val="24"/>
          <w:szCs w:val="24"/>
          <w:rtl/>
        </w:rPr>
        <w:t>فراهم</w:t>
      </w:r>
      <w:proofErr w:type="gramEnd"/>
      <w:r w:rsidRPr="004C3A62">
        <w:rPr>
          <w:rFonts w:ascii="Times New Roman" w:eastAsia="Times New Roman" w:hAnsi="Times New Roman" w:cs="B Nazanin"/>
          <w:sz w:val="24"/>
          <w:szCs w:val="24"/>
          <w:rtl/>
        </w:rPr>
        <w:t xml:space="preserve"> شدن شرايط فني، ارزش روزانه وثايق در سامانه معاملات اعلام خواهد شد</w:t>
      </w:r>
      <w:r w:rsidRPr="004C3A62">
        <w:rPr>
          <w:rFonts w:ascii="Times New Roman" w:eastAsia="Times New Roman" w:hAnsi="Times New Roman" w:cs="B Nazanin"/>
          <w:sz w:val="24"/>
          <w:szCs w:val="24"/>
        </w:rPr>
        <w:t xml:space="preserve">. </w:t>
      </w:r>
    </w:p>
    <w:p w:rsidR="009D3F94" w:rsidRPr="009D3F94" w:rsidRDefault="004C3A62" w:rsidP="009D3F94">
      <w:pPr>
        <w:numPr>
          <w:ilvl w:val="1"/>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ماده </w:t>
      </w:r>
      <w:r w:rsidR="009D3F94">
        <w:rPr>
          <w:rFonts w:ascii="Times New Roman" w:eastAsia="Times New Roman" w:hAnsi="Times New Roman" w:cs="B Nazanin" w:hint="cs"/>
          <w:b/>
          <w:bCs/>
          <w:sz w:val="24"/>
          <w:szCs w:val="24"/>
          <w:rtl/>
        </w:rPr>
        <w:t>7</w:t>
      </w:r>
      <w:r w:rsidRPr="004C3A62">
        <w:rPr>
          <w:rFonts w:ascii="Times New Roman" w:eastAsia="Times New Roman" w:hAnsi="Times New Roman" w:cs="B Nazanin"/>
          <w:b/>
          <w:bCs/>
          <w:sz w:val="24"/>
          <w:szCs w:val="24"/>
        </w:rPr>
        <w:t xml:space="preserve">: </w:t>
      </w:r>
    </w:p>
    <w:p w:rsidR="004C3A62" w:rsidRDefault="004C3A62" w:rsidP="009D3F94">
      <w:pPr>
        <w:bidi/>
        <w:spacing w:before="100" w:beforeAutospacing="1" w:after="100" w:afterAutospacing="1" w:line="240" w:lineRule="auto"/>
        <w:ind w:left="-360"/>
        <w:jc w:val="lowKashida"/>
        <w:rPr>
          <w:rFonts w:ascii="Times New Roman" w:eastAsia="Times New Roman" w:hAnsi="Times New Roman" w:cs="B Nazanin"/>
          <w:sz w:val="24"/>
          <w:szCs w:val="24"/>
          <w:rtl/>
        </w:rPr>
      </w:pPr>
      <w:r w:rsidRPr="004C3A62">
        <w:rPr>
          <w:rFonts w:ascii="Times New Roman" w:eastAsia="Times New Roman" w:hAnsi="Times New Roman" w:cs="B Nazanin"/>
          <w:sz w:val="24"/>
          <w:szCs w:val="24"/>
          <w:rtl/>
        </w:rPr>
        <w:t>نهاد واسط مجاز به انتقال مجدد ريسك‌هاي بيمه‌اي خود نيست</w:t>
      </w:r>
      <w:r w:rsidRPr="004C3A62">
        <w:rPr>
          <w:rFonts w:ascii="Times New Roman" w:eastAsia="Times New Roman" w:hAnsi="Times New Roman" w:cs="B Nazanin"/>
          <w:sz w:val="24"/>
          <w:szCs w:val="24"/>
        </w:rPr>
        <w:t>.</w:t>
      </w:r>
    </w:p>
    <w:p w:rsidR="00246079" w:rsidRPr="004C3A62" w:rsidRDefault="00246079" w:rsidP="00246079">
      <w:pPr>
        <w:bidi/>
        <w:spacing w:before="100" w:beforeAutospacing="1" w:after="100" w:afterAutospacing="1" w:line="240" w:lineRule="auto"/>
        <w:ind w:left="-360"/>
        <w:jc w:val="lowKashida"/>
        <w:rPr>
          <w:rFonts w:ascii="Times New Roman" w:eastAsia="Times New Roman" w:hAnsi="Times New Roman" w:cs="B Nazanin"/>
          <w:sz w:val="24"/>
          <w:szCs w:val="24"/>
        </w:rPr>
      </w:pPr>
    </w:p>
    <w:p w:rsidR="004C3A62" w:rsidRPr="004C3A62" w:rsidRDefault="004C3A62" w:rsidP="009D3F94">
      <w:pPr>
        <w:numPr>
          <w:ilvl w:val="1"/>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lastRenderedPageBreak/>
        <w:t xml:space="preserve">ماده </w:t>
      </w:r>
      <w:r w:rsidR="009D3F94">
        <w:rPr>
          <w:rFonts w:ascii="Times New Roman" w:eastAsia="Times New Roman" w:hAnsi="Times New Roman" w:cs="B Nazanin" w:hint="cs"/>
          <w:b/>
          <w:bCs/>
          <w:sz w:val="24"/>
          <w:szCs w:val="24"/>
          <w:rtl/>
        </w:rPr>
        <w:t>8</w:t>
      </w:r>
      <w:r w:rsidRPr="004C3A62">
        <w:rPr>
          <w:rFonts w:ascii="Times New Roman" w:eastAsia="Times New Roman" w:hAnsi="Times New Roman" w:cs="B Nazanin"/>
          <w:b/>
          <w:bCs/>
          <w:sz w:val="24"/>
          <w:szCs w:val="24"/>
        </w:rPr>
        <w:t xml:space="preserve">: </w:t>
      </w:r>
    </w:p>
    <w:p w:rsid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tl/>
        </w:rPr>
      </w:pPr>
      <w:r w:rsidRPr="004C3A62">
        <w:rPr>
          <w:rFonts w:ascii="Times New Roman" w:eastAsia="Times New Roman" w:hAnsi="Times New Roman" w:cs="B Nazanin"/>
          <w:sz w:val="24"/>
          <w:szCs w:val="24"/>
          <w:rtl/>
        </w:rPr>
        <w:t xml:space="preserve">باني </w:t>
      </w:r>
      <w:proofErr w:type="gramStart"/>
      <w:r w:rsidRPr="004C3A62">
        <w:rPr>
          <w:rFonts w:ascii="Times New Roman" w:eastAsia="Times New Roman" w:hAnsi="Times New Roman" w:cs="B Nazanin"/>
          <w:sz w:val="24"/>
          <w:szCs w:val="24"/>
          <w:rtl/>
        </w:rPr>
        <w:t>جهت</w:t>
      </w:r>
      <w:proofErr w:type="gramEnd"/>
      <w:r w:rsidRPr="004C3A62">
        <w:rPr>
          <w:rFonts w:ascii="Times New Roman" w:eastAsia="Times New Roman" w:hAnsi="Times New Roman" w:cs="B Nazanin"/>
          <w:sz w:val="24"/>
          <w:szCs w:val="24"/>
          <w:rtl/>
        </w:rPr>
        <w:t xml:space="preserve"> دريافت مجوز انتشار اوراق بيمه اتكايي، مكلف به تهيه و ارائه گزارش توجيهي حاوي مشخصات پرتفوي ريسك هاي بيمه اي قابل انتقال، محدودة ريسك، پيش بيني ضريب خسارت رشته مربوطه، پوشش‌ها، شرايط و استثناها و نيز پيش بيني سودآوري حاصل از سرمايه گذاري وجوه است</w:t>
      </w:r>
      <w:r w:rsidRPr="004C3A62">
        <w:rPr>
          <w:rFonts w:ascii="Times New Roman" w:eastAsia="Times New Roman" w:hAnsi="Times New Roman" w:cs="B Nazanin"/>
          <w:sz w:val="24"/>
          <w:szCs w:val="24"/>
        </w:rPr>
        <w:t xml:space="preserve">. </w:t>
      </w:r>
    </w:p>
    <w:p w:rsidR="004C3A62" w:rsidRPr="004C3A62" w:rsidRDefault="004C3A62" w:rsidP="009D3F94">
      <w:pPr>
        <w:numPr>
          <w:ilvl w:val="1"/>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ماده </w:t>
      </w:r>
      <w:r w:rsidR="009D3F94">
        <w:rPr>
          <w:rFonts w:ascii="Times New Roman" w:eastAsia="Times New Roman" w:hAnsi="Times New Roman" w:cs="B Nazanin" w:hint="cs"/>
          <w:b/>
          <w:bCs/>
          <w:sz w:val="24"/>
          <w:szCs w:val="24"/>
          <w:rtl/>
        </w:rPr>
        <w:t>9</w:t>
      </w:r>
      <w:r w:rsidRPr="004C3A62">
        <w:rPr>
          <w:rFonts w:ascii="Times New Roman" w:eastAsia="Times New Roman" w:hAnsi="Times New Roman" w:cs="B Nazanin"/>
          <w:b/>
          <w:bCs/>
          <w:sz w:val="24"/>
          <w:szCs w:val="24"/>
        </w:rPr>
        <w:t xml:space="preserve">: </w:t>
      </w:r>
    </w:p>
    <w:p w:rsidR="004C3A62" w:rsidRPr="004C3A62" w:rsidRDefault="004C3A62" w:rsidP="009D3F94">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 xml:space="preserve">نهاد واسط مكلف است پس از دريافت تأييديه تكميل فرآيند پذيره نويسي از سازمان، وجوه ناشي از انتشار اوراق را به باني پرداخت </w:t>
      </w:r>
      <w:proofErr w:type="gramStart"/>
      <w:r w:rsidRPr="004C3A62">
        <w:rPr>
          <w:rFonts w:ascii="Times New Roman" w:eastAsia="Times New Roman" w:hAnsi="Times New Roman" w:cs="B Nazanin"/>
          <w:sz w:val="24"/>
          <w:szCs w:val="24"/>
          <w:rtl/>
        </w:rPr>
        <w:t>و وكالت</w:t>
      </w:r>
      <w:proofErr w:type="gramEnd"/>
      <w:r w:rsidRPr="004C3A62">
        <w:rPr>
          <w:rFonts w:ascii="Times New Roman" w:eastAsia="Times New Roman" w:hAnsi="Times New Roman" w:cs="B Nazanin"/>
          <w:sz w:val="24"/>
          <w:szCs w:val="24"/>
          <w:rtl/>
        </w:rPr>
        <w:t xml:space="preserve"> استفاده از حق بيمه ها و وجوه ناشي از انتشار اوراق و سرمايه گذاري منابع را جهت سرمايه گذاري در چارچوب آيين نامۀ سرمايه گذاري مؤسسات بيمه مصوب </w:t>
      </w:r>
      <w:r w:rsidR="009D3F94">
        <w:rPr>
          <w:rFonts w:ascii="Times New Roman" w:eastAsia="Times New Roman" w:hAnsi="Times New Roman" w:cs="B Nazanin" w:hint="cs"/>
          <w:sz w:val="24"/>
          <w:szCs w:val="24"/>
          <w:rtl/>
        </w:rPr>
        <w:t>14/11/1388</w:t>
      </w:r>
      <w:r w:rsidRPr="004C3A62">
        <w:rPr>
          <w:rFonts w:ascii="Times New Roman" w:eastAsia="Times New Roman" w:hAnsi="Times New Roman" w:cs="B Nazanin"/>
          <w:sz w:val="24"/>
          <w:szCs w:val="24"/>
        </w:rPr>
        <w:t xml:space="preserve"> </w:t>
      </w:r>
      <w:r w:rsidRPr="004C3A62">
        <w:rPr>
          <w:rFonts w:ascii="Times New Roman" w:eastAsia="Times New Roman" w:hAnsi="Times New Roman" w:cs="B Nazanin"/>
          <w:sz w:val="24"/>
          <w:szCs w:val="24"/>
          <w:rtl/>
        </w:rPr>
        <w:t xml:space="preserve">شوراي عالي بيمه به استثناي موارد موضوع تبصره 2 ماده 2، ماده </w:t>
      </w:r>
      <w:r w:rsidR="009D3F94">
        <w:rPr>
          <w:rFonts w:ascii="Times New Roman" w:eastAsia="Times New Roman" w:hAnsi="Times New Roman" w:cs="B Nazanin" w:hint="cs"/>
          <w:sz w:val="24"/>
          <w:szCs w:val="24"/>
          <w:rtl/>
        </w:rPr>
        <w:t>6</w:t>
      </w:r>
      <w:r w:rsidRPr="004C3A62">
        <w:rPr>
          <w:rFonts w:ascii="Times New Roman" w:eastAsia="Times New Roman" w:hAnsi="Times New Roman" w:cs="B Nazanin"/>
          <w:sz w:val="24"/>
          <w:szCs w:val="24"/>
          <w:rtl/>
        </w:rPr>
        <w:t>، ماده 8، ماده 10 و ماده 11 آن به باني واگذار نمايد</w:t>
      </w:r>
      <w:r w:rsidRPr="004C3A62">
        <w:rPr>
          <w:rFonts w:ascii="Times New Roman" w:eastAsia="Times New Roman" w:hAnsi="Times New Roman" w:cs="B Nazanin"/>
          <w:sz w:val="24"/>
          <w:szCs w:val="24"/>
        </w:rPr>
        <w:t xml:space="preserve">. </w:t>
      </w:r>
    </w:p>
    <w:p w:rsidR="004C3A62" w:rsidRPr="004C3A62" w:rsidRDefault="004C3A62" w:rsidP="009D3F94">
      <w:pPr>
        <w:numPr>
          <w:ilvl w:val="1"/>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ماده </w:t>
      </w:r>
      <w:r w:rsidR="009D3F94">
        <w:rPr>
          <w:rFonts w:ascii="Times New Roman" w:eastAsia="Times New Roman" w:hAnsi="Times New Roman" w:cs="B Nazanin" w:hint="cs"/>
          <w:b/>
          <w:bCs/>
          <w:sz w:val="24"/>
          <w:szCs w:val="24"/>
          <w:rtl/>
        </w:rPr>
        <w:t>10</w:t>
      </w:r>
      <w:r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 xml:space="preserve">حسابرس </w:t>
      </w:r>
      <w:proofErr w:type="gramStart"/>
      <w:r w:rsidRPr="004C3A62">
        <w:rPr>
          <w:rFonts w:ascii="Times New Roman" w:eastAsia="Times New Roman" w:hAnsi="Times New Roman" w:cs="B Nazanin"/>
          <w:sz w:val="24"/>
          <w:szCs w:val="24"/>
          <w:rtl/>
        </w:rPr>
        <w:t>و بازرس</w:t>
      </w:r>
      <w:proofErr w:type="gramEnd"/>
      <w:r w:rsidRPr="004C3A62">
        <w:rPr>
          <w:rFonts w:ascii="Times New Roman" w:eastAsia="Times New Roman" w:hAnsi="Times New Roman" w:cs="B Nazanin"/>
          <w:sz w:val="24"/>
          <w:szCs w:val="24"/>
          <w:rtl/>
        </w:rPr>
        <w:t xml:space="preserve"> قانوني باني در زمان ارائه طرح انتشار اوراق بيمه اتكايي تا پايان تصفيه اوراق بايد از ميان موسسات حسابرسي معتمد سازمان و بيمه مركزي جمهوري اسلامي ايران انتخاب شده باشد</w:t>
      </w:r>
      <w:r w:rsidRPr="004C3A62">
        <w:rPr>
          <w:rFonts w:ascii="Times New Roman" w:eastAsia="Times New Roman" w:hAnsi="Times New Roman" w:cs="B Nazanin"/>
          <w:sz w:val="24"/>
          <w:szCs w:val="24"/>
        </w:rPr>
        <w:t xml:space="preserve">. </w:t>
      </w:r>
    </w:p>
    <w:p w:rsidR="004C3A62" w:rsidRPr="004C3A62" w:rsidRDefault="004C3A62" w:rsidP="009D3F94">
      <w:pPr>
        <w:numPr>
          <w:ilvl w:val="1"/>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ماده </w:t>
      </w:r>
      <w:r w:rsidR="009D3F94">
        <w:rPr>
          <w:rFonts w:ascii="Times New Roman" w:eastAsia="Times New Roman" w:hAnsi="Times New Roman" w:cs="B Nazanin" w:hint="cs"/>
          <w:b/>
          <w:bCs/>
          <w:sz w:val="24"/>
          <w:szCs w:val="24"/>
          <w:rtl/>
        </w:rPr>
        <w:t>11</w:t>
      </w:r>
      <w:r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 xml:space="preserve">باني موظف است روش محاسبه، مواعد </w:t>
      </w:r>
      <w:proofErr w:type="gramStart"/>
      <w:r w:rsidRPr="004C3A62">
        <w:rPr>
          <w:rFonts w:ascii="Times New Roman" w:eastAsia="Times New Roman" w:hAnsi="Times New Roman" w:cs="B Nazanin"/>
          <w:sz w:val="24"/>
          <w:szCs w:val="24"/>
          <w:rtl/>
        </w:rPr>
        <w:t>و شيوه</w:t>
      </w:r>
      <w:proofErr w:type="gramEnd"/>
      <w:r w:rsidRPr="004C3A62">
        <w:rPr>
          <w:rFonts w:ascii="Times New Roman" w:eastAsia="Times New Roman" w:hAnsi="Times New Roman" w:cs="B Nazanin"/>
          <w:sz w:val="24"/>
          <w:szCs w:val="24"/>
          <w:rtl/>
        </w:rPr>
        <w:t xml:space="preserve"> پرداخت سود علي الحساب و قطعي اوراق را در مقاطع زماني تعيين شده، در گزارش توجيهي، بيانيه ثبت و اعلاميه پذيره‌نويسي درج نمايد</w:t>
      </w:r>
      <w:r w:rsidRPr="004C3A62">
        <w:rPr>
          <w:rFonts w:ascii="Times New Roman" w:eastAsia="Times New Roman" w:hAnsi="Times New Roman" w:cs="B Nazanin"/>
          <w:sz w:val="24"/>
          <w:szCs w:val="24"/>
        </w:rPr>
        <w:t xml:space="preserve">. </w:t>
      </w:r>
    </w:p>
    <w:p w:rsidR="004C3A62" w:rsidRPr="004C3A62" w:rsidRDefault="004C3A62" w:rsidP="009D3F94">
      <w:pPr>
        <w:numPr>
          <w:ilvl w:val="1"/>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ماده </w:t>
      </w:r>
      <w:r w:rsidR="009D3F94">
        <w:rPr>
          <w:rFonts w:ascii="Times New Roman" w:eastAsia="Times New Roman" w:hAnsi="Times New Roman" w:cs="B Nazanin" w:hint="cs"/>
          <w:b/>
          <w:bCs/>
          <w:sz w:val="24"/>
          <w:szCs w:val="24"/>
          <w:rtl/>
        </w:rPr>
        <w:t>12</w:t>
      </w:r>
      <w:r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 xml:space="preserve">باني موظف است گزارشي در خصوص نگهداري حساب‌ها‌، دريافت حق بيمه ها، نتايج حاصل از سرمايه گذاري وجوه </w:t>
      </w:r>
      <w:proofErr w:type="gramStart"/>
      <w:r w:rsidRPr="004C3A62">
        <w:rPr>
          <w:rFonts w:ascii="Times New Roman" w:eastAsia="Times New Roman" w:hAnsi="Times New Roman" w:cs="B Nazanin"/>
          <w:sz w:val="24"/>
          <w:szCs w:val="24"/>
          <w:rtl/>
        </w:rPr>
        <w:t>و ساير</w:t>
      </w:r>
      <w:proofErr w:type="gramEnd"/>
      <w:r w:rsidRPr="004C3A62">
        <w:rPr>
          <w:rFonts w:ascii="Times New Roman" w:eastAsia="Times New Roman" w:hAnsi="Times New Roman" w:cs="B Nazanin"/>
          <w:sz w:val="24"/>
          <w:szCs w:val="24"/>
          <w:rtl/>
        </w:rPr>
        <w:t xml:space="preserve"> اقدامات اجرايي مربوط به قراردادهاي بيمه موضوع انتشار اوراق را به صورت مجزا و مستقل از ساير حساب هاي خود در مقاطع شش ماهه به همراه تأييديه امين، حداكثر دو ماه بعد از مواعد شش ماهه، پس از اخذ تأييديه بيمه مركزي به سازمان ارائه كرده و به طريقي كه سازمان تعيين مي كند به عموم افشا نمايد</w:t>
      </w:r>
      <w:r w:rsidRPr="004C3A62">
        <w:rPr>
          <w:rFonts w:ascii="Times New Roman" w:eastAsia="Times New Roman" w:hAnsi="Times New Roman" w:cs="B Nazanin"/>
          <w:sz w:val="24"/>
          <w:szCs w:val="24"/>
        </w:rPr>
        <w:t xml:space="preserve">. </w:t>
      </w:r>
    </w:p>
    <w:p w:rsidR="004C3A62" w:rsidRPr="004C3A62" w:rsidRDefault="004C3A62" w:rsidP="009D3F94">
      <w:pPr>
        <w:numPr>
          <w:ilvl w:val="1"/>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ماده </w:t>
      </w:r>
      <w:r w:rsidR="009D3F94">
        <w:rPr>
          <w:rFonts w:ascii="Times New Roman" w:eastAsia="Times New Roman" w:hAnsi="Times New Roman" w:cs="B Nazanin" w:hint="cs"/>
          <w:b/>
          <w:bCs/>
          <w:sz w:val="24"/>
          <w:szCs w:val="24"/>
          <w:rtl/>
        </w:rPr>
        <w:t>13</w:t>
      </w:r>
      <w:r w:rsidRPr="004C3A62">
        <w:rPr>
          <w:rFonts w:ascii="Times New Roman" w:eastAsia="Times New Roman" w:hAnsi="Times New Roman" w:cs="B Nazanin"/>
          <w:b/>
          <w:bCs/>
          <w:sz w:val="24"/>
          <w:szCs w:val="24"/>
        </w:rPr>
        <w:t xml:space="preserve">: </w:t>
      </w:r>
    </w:p>
    <w:p w:rsid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tl/>
        </w:rPr>
      </w:pPr>
      <w:r w:rsidRPr="004C3A62">
        <w:rPr>
          <w:rFonts w:ascii="Times New Roman" w:eastAsia="Times New Roman" w:hAnsi="Times New Roman" w:cs="B Nazanin"/>
          <w:sz w:val="24"/>
          <w:szCs w:val="24"/>
          <w:rtl/>
        </w:rPr>
        <w:t xml:space="preserve">امين موظف است به منظور حفظ منافع دارندگان اوراق </w:t>
      </w:r>
      <w:proofErr w:type="gramStart"/>
      <w:r w:rsidRPr="004C3A62">
        <w:rPr>
          <w:rFonts w:ascii="Times New Roman" w:eastAsia="Times New Roman" w:hAnsi="Times New Roman" w:cs="B Nazanin"/>
          <w:sz w:val="24"/>
          <w:szCs w:val="24"/>
          <w:rtl/>
        </w:rPr>
        <w:t>و حصول</w:t>
      </w:r>
      <w:proofErr w:type="gramEnd"/>
      <w:r w:rsidRPr="004C3A62">
        <w:rPr>
          <w:rFonts w:ascii="Times New Roman" w:eastAsia="Times New Roman" w:hAnsi="Times New Roman" w:cs="B Nazanin"/>
          <w:sz w:val="24"/>
          <w:szCs w:val="24"/>
          <w:rtl/>
        </w:rPr>
        <w:t xml:space="preserve"> اطمينان از رعايت مقررات و صحت فرآيند عمليات دريافت حق بيمه، ارزيابي ريسك ها، ارزيابي خسارت ها و سرمايه گذاري وجوه، بر عمليات باني نظارت و گزارش آن ‌را حداكثر دو ماه بعد از مواعد شش ماهه به سازمان ارائه نمايد. امين موظف است به منظور اظهار نظر در خصوص موارد فوق نسبت به اخذ نظر بيمه مركزي </w:t>
      </w:r>
      <w:proofErr w:type="gramStart"/>
      <w:r w:rsidRPr="004C3A62">
        <w:rPr>
          <w:rFonts w:ascii="Times New Roman" w:eastAsia="Times New Roman" w:hAnsi="Times New Roman" w:cs="B Nazanin"/>
          <w:sz w:val="24"/>
          <w:szCs w:val="24"/>
          <w:rtl/>
        </w:rPr>
        <w:t>و حصول</w:t>
      </w:r>
      <w:proofErr w:type="gramEnd"/>
      <w:r w:rsidRPr="004C3A62">
        <w:rPr>
          <w:rFonts w:ascii="Times New Roman" w:eastAsia="Times New Roman" w:hAnsi="Times New Roman" w:cs="B Nazanin"/>
          <w:sz w:val="24"/>
          <w:szCs w:val="24"/>
          <w:rtl/>
        </w:rPr>
        <w:t xml:space="preserve"> اطمينان از رعايت مقررات ابلاغي از سوي بيمه مركزي به مؤسسات بيمه اقدام نمايد</w:t>
      </w:r>
      <w:r w:rsidRPr="004C3A62">
        <w:rPr>
          <w:rFonts w:ascii="Times New Roman" w:eastAsia="Times New Roman" w:hAnsi="Times New Roman" w:cs="B Nazanin"/>
          <w:sz w:val="24"/>
          <w:szCs w:val="24"/>
        </w:rPr>
        <w:t xml:space="preserve">. </w:t>
      </w:r>
    </w:p>
    <w:p w:rsidR="00246079" w:rsidRPr="004C3A62" w:rsidRDefault="00246079" w:rsidP="00246079">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p>
    <w:p w:rsidR="004C3A62" w:rsidRPr="004C3A62" w:rsidRDefault="004C3A62" w:rsidP="009D3F94">
      <w:pPr>
        <w:numPr>
          <w:ilvl w:val="1"/>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lastRenderedPageBreak/>
        <w:t xml:space="preserve">ماده </w:t>
      </w:r>
      <w:r w:rsidR="009D3F94">
        <w:rPr>
          <w:rFonts w:ascii="Times New Roman" w:eastAsia="Times New Roman" w:hAnsi="Times New Roman" w:cs="B Nazanin" w:hint="cs"/>
          <w:b/>
          <w:bCs/>
          <w:sz w:val="24"/>
          <w:szCs w:val="24"/>
          <w:rtl/>
        </w:rPr>
        <w:t>14</w:t>
      </w:r>
      <w:r w:rsidRPr="004C3A62">
        <w:rPr>
          <w:rFonts w:ascii="Times New Roman" w:eastAsia="Times New Roman" w:hAnsi="Times New Roman" w:cs="B Nazanin"/>
          <w:b/>
          <w:bCs/>
          <w:sz w:val="24"/>
          <w:szCs w:val="24"/>
        </w:rPr>
        <w:t xml:space="preserve">: </w:t>
      </w:r>
    </w:p>
    <w:p w:rsid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tl/>
        </w:rPr>
      </w:pPr>
      <w:r w:rsidRPr="004C3A62">
        <w:rPr>
          <w:rFonts w:ascii="Times New Roman" w:eastAsia="Times New Roman" w:hAnsi="Times New Roman" w:cs="B Nazanin"/>
          <w:sz w:val="24"/>
          <w:szCs w:val="24"/>
          <w:rtl/>
        </w:rPr>
        <w:t xml:space="preserve">باني مكلف است حداكثر چهار ماه بعد از سررسيد نهايي اوراق نسبت به محاسبه سود قطعي اوراق </w:t>
      </w:r>
      <w:proofErr w:type="gramStart"/>
      <w:r w:rsidRPr="004C3A62">
        <w:rPr>
          <w:rFonts w:ascii="Times New Roman" w:eastAsia="Times New Roman" w:hAnsi="Times New Roman" w:cs="B Nazanin"/>
          <w:sz w:val="24"/>
          <w:szCs w:val="24"/>
          <w:rtl/>
        </w:rPr>
        <w:t>و ارائه</w:t>
      </w:r>
      <w:proofErr w:type="gramEnd"/>
      <w:r w:rsidRPr="004C3A62">
        <w:rPr>
          <w:rFonts w:ascii="Times New Roman" w:eastAsia="Times New Roman" w:hAnsi="Times New Roman" w:cs="B Nazanin"/>
          <w:sz w:val="24"/>
          <w:szCs w:val="24"/>
          <w:rtl/>
        </w:rPr>
        <w:t xml:space="preserve"> آن به امين اقدام نمايد. اظهارنظر امين در خصوص گزارش مذكور بايد حداكثر تا پنج ماه بعد از سررسيد نهايي اوراق به سازمان ارائه گردد. سود قطعي قابل پرداخت به دارندگان اوراق حداكثر ظرف شش ماه بعد از سررسيد نهايي پرداخت خواهد شد</w:t>
      </w:r>
      <w:r w:rsidRPr="004C3A62">
        <w:rPr>
          <w:rFonts w:ascii="Times New Roman" w:eastAsia="Times New Roman" w:hAnsi="Times New Roman" w:cs="B Nazanin"/>
          <w:sz w:val="24"/>
          <w:szCs w:val="24"/>
        </w:rPr>
        <w:t>.</w:t>
      </w:r>
    </w:p>
    <w:p w:rsidR="004C3A62" w:rsidRPr="004C3A62" w:rsidRDefault="004C3A62" w:rsidP="009D3F94">
      <w:pPr>
        <w:numPr>
          <w:ilvl w:val="1"/>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ماده </w:t>
      </w:r>
      <w:r w:rsidR="009D3F94">
        <w:rPr>
          <w:rFonts w:ascii="Times New Roman" w:eastAsia="Times New Roman" w:hAnsi="Times New Roman" w:cs="B Nazanin" w:hint="cs"/>
          <w:b/>
          <w:bCs/>
          <w:sz w:val="24"/>
          <w:szCs w:val="24"/>
          <w:rtl/>
        </w:rPr>
        <w:t>15</w:t>
      </w:r>
      <w:r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 xml:space="preserve">عامل فروش اوراق بيمه اتكايي توسط باني از بين شركت‌هاي كارگزاري بورس اوراق بهادار تهران يا فرابورس </w:t>
      </w:r>
      <w:proofErr w:type="gramStart"/>
      <w:r w:rsidRPr="004C3A62">
        <w:rPr>
          <w:rFonts w:ascii="Times New Roman" w:eastAsia="Times New Roman" w:hAnsi="Times New Roman" w:cs="B Nazanin"/>
          <w:sz w:val="24"/>
          <w:szCs w:val="24"/>
          <w:rtl/>
        </w:rPr>
        <w:t>ايران</w:t>
      </w:r>
      <w:proofErr w:type="gramEnd"/>
      <w:r w:rsidRPr="004C3A62">
        <w:rPr>
          <w:rFonts w:ascii="Times New Roman" w:eastAsia="Times New Roman" w:hAnsi="Times New Roman" w:cs="B Nazanin"/>
          <w:sz w:val="24"/>
          <w:szCs w:val="24"/>
          <w:rtl/>
        </w:rPr>
        <w:t xml:space="preserve"> تعيين مي‌گردد</w:t>
      </w:r>
      <w:r w:rsidRPr="004C3A62">
        <w:rPr>
          <w:rFonts w:ascii="Times New Roman" w:eastAsia="Times New Roman" w:hAnsi="Times New Roman" w:cs="B Nazanin"/>
          <w:sz w:val="24"/>
          <w:szCs w:val="24"/>
        </w:rPr>
        <w:t xml:space="preserve">. </w:t>
      </w:r>
    </w:p>
    <w:p w:rsidR="004C3A62" w:rsidRPr="004C3A62" w:rsidRDefault="004C3A62" w:rsidP="004C3A62">
      <w:pPr>
        <w:numPr>
          <w:ilvl w:val="2"/>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تبصره</w:t>
      </w:r>
      <w:r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 xml:space="preserve">عامل فروش مي‌تواند به منظور توزيع گسترده اوراق از خدمات بانك‌ها </w:t>
      </w:r>
      <w:proofErr w:type="gramStart"/>
      <w:r w:rsidRPr="004C3A62">
        <w:rPr>
          <w:rFonts w:ascii="Times New Roman" w:eastAsia="Times New Roman" w:hAnsi="Times New Roman" w:cs="B Nazanin"/>
          <w:sz w:val="24"/>
          <w:szCs w:val="24"/>
          <w:rtl/>
        </w:rPr>
        <w:t>و نهادهاي</w:t>
      </w:r>
      <w:proofErr w:type="gramEnd"/>
      <w:r w:rsidRPr="004C3A62">
        <w:rPr>
          <w:rFonts w:ascii="Times New Roman" w:eastAsia="Times New Roman" w:hAnsi="Times New Roman" w:cs="B Nazanin"/>
          <w:sz w:val="24"/>
          <w:szCs w:val="24"/>
          <w:rtl/>
        </w:rPr>
        <w:t xml:space="preserve"> مالي استفاده نموده و ترتيبي اتخاذ نمايد تا سفارش‌گيري جهت خريد اوراق بيمه اتكايي از طريق شعب آنها نيز انجام شود</w:t>
      </w:r>
      <w:r w:rsidRPr="004C3A62">
        <w:rPr>
          <w:rFonts w:ascii="Times New Roman" w:eastAsia="Times New Roman" w:hAnsi="Times New Roman" w:cs="B Nazanin"/>
          <w:sz w:val="24"/>
          <w:szCs w:val="24"/>
        </w:rPr>
        <w:t xml:space="preserve">. </w:t>
      </w:r>
    </w:p>
    <w:p w:rsidR="004C3A62" w:rsidRPr="004C3A62" w:rsidRDefault="004C3A62" w:rsidP="009D3F94">
      <w:pPr>
        <w:numPr>
          <w:ilvl w:val="1"/>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ماده </w:t>
      </w:r>
      <w:r w:rsidR="009D3F94">
        <w:rPr>
          <w:rFonts w:ascii="Times New Roman" w:eastAsia="Times New Roman" w:hAnsi="Times New Roman" w:cs="B Nazanin" w:hint="cs"/>
          <w:b/>
          <w:bCs/>
          <w:sz w:val="24"/>
          <w:szCs w:val="24"/>
          <w:rtl/>
        </w:rPr>
        <w:t>16</w:t>
      </w:r>
      <w:r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عامل پرداخت موظف است پس از دريافت وجوه مرتبط با اوراق بيمه اتكايي، وجوه مقرر را در سررسيدهاي معين به سرمايه گذاران پرداخت نمايد</w:t>
      </w:r>
      <w:r w:rsidRPr="004C3A62">
        <w:rPr>
          <w:rFonts w:ascii="Times New Roman" w:eastAsia="Times New Roman" w:hAnsi="Times New Roman" w:cs="B Nazanin"/>
          <w:sz w:val="24"/>
          <w:szCs w:val="24"/>
        </w:rPr>
        <w:t xml:space="preserve">. </w:t>
      </w:r>
    </w:p>
    <w:p w:rsidR="004C3A62" w:rsidRPr="004C3A62" w:rsidRDefault="004C3A62" w:rsidP="009D3F94">
      <w:pPr>
        <w:numPr>
          <w:ilvl w:val="1"/>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ماده </w:t>
      </w:r>
      <w:r w:rsidR="009D3F94">
        <w:rPr>
          <w:rFonts w:ascii="Times New Roman" w:eastAsia="Times New Roman" w:hAnsi="Times New Roman" w:cs="B Nazanin" w:hint="cs"/>
          <w:b/>
          <w:bCs/>
          <w:sz w:val="24"/>
          <w:szCs w:val="24"/>
          <w:rtl/>
        </w:rPr>
        <w:t>17</w:t>
      </w:r>
      <w:r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 xml:space="preserve">بازارگردان </w:t>
      </w:r>
      <w:proofErr w:type="gramStart"/>
      <w:r w:rsidRPr="004C3A62">
        <w:rPr>
          <w:rFonts w:ascii="Times New Roman" w:eastAsia="Times New Roman" w:hAnsi="Times New Roman" w:cs="B Nazanin"/>
          <w:sz w:val="24"/>
          <w:szCs w:val="24"/>
          <w:rtl/>
        </w:rPr>
        <w:t>و متعهد</w:t>
      </w:r>
      <w:proofErr w:type="gramEnd"/>
      <w:r w:rsidRPr="004C3A62">
        <w:rPr>
          <w:rFonts w:ascii="Times New Roman" w:eastAsia="Times New Roman" w:hAnsi="Times New Roman" w:cs="B Nazanin"/>
          <w:sz w:val="24"/>
          <w:szCs w:val="24"/>
          <w:rtl/>
        </w:rPr>
        <w:t xml:space="preserve"> پذيره‌نويسي اوراق بيمه اتكايي با معرفي باني و تاييد سازمان انتخاب مي‌شود. متعهد پذيره‌نويسي </w:t>
      </w:r>
      <w:proofErr w:type="gramStart"/>
      <w:r w:rsidRPr="004C3A62">
        <w:rPr>
          <w:rFonts w:ascii="Times New Roman" w:eastAsia="Times New Roman" w:hAnsi="Times New Roman" w:cs="B Nazanin"/>
          <w:sz w:val="24"/>
          <w:szCs w:val="24"/>
          <w:rtl/>
        </w:rPr>
        <w:t>و بازارگردان</w:t>
      </w:r>
      <w:proofErr w:type="gramEnd"/>
      <w:r w:rsidRPr="004C3A62">
        <w:rPr>
          <w:rFonts w:ascii="Times New Roman" w:eastAsia="Times New Roman" w:hAnsi="Times New Roman" w:cs="B Nazanin"/>
          <w:sz w:val="24"/>
          <w:szCs w:val="24"/>
          <w:rtl/>
        </w:rPr>
        <w:t xml:space="preserve"> يا حسب مورد سرمايه‌گذار بازارگرداني بايد از كفايت سرمايه لازم مطابق مقررات برخوردار باشند</w:t>
      </w:r>
      <w:r w:rsidRPr="004C3A62">
        <w:rPr>
          <w:rFonts w:ascii="Times New Roman" w:eastAsia="Times New Roman" w:hAnsi="Times New Roman" w:cs="B Nazanin"/>
          <w:sz w:val="24"/>
          <w:szCs w:val="24"/>
        </w:rPr>
        <w:t xml:space="preserve">. </w:t>
      </w:r>
    </w:p>
    <w:p w:rsidR="004C3A62" w:rsidRPr="004C3A62" w:rsidRDefault="004C3A62" w:rsidP="009D3F94">
      <w:pPr>
        <w:numPr>
          <w:ilvl w:val="1"/>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ماده </w:t>
      </w:r>
      <w:r w:rsidR="009D3F94">
        <w:rPr>
          <w:rFonts w:ascii="Times New Roman" w:eastAsia="Times New Roman" w:hAnsi="Times New Roman" w:cs="B Nazanin" w:hint="cs"/>
          <w:b/>
          <w:bCs/>
          <w:sz w:val="24"/>
          <w:szCs w:val="24"/>
          <w:rtl/>
        </w:rPr>
        <w:t>18</w:t>
      </w:r>
      <w:r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 xml:space="preserve">باني مكلف است گزارش توجيهي انتشار اوراق را به همراه اظهارنظر حسابرس در خصوص انتشار آن براي دريافت مجوز به بيمه مركزي ارسال نمايد. پس از دريافت مجوز بيمه مركزي در خصوص انتشار اوراق بيمه اتكايي، باني مي بايست گزارش توجيهي انتشار اوراق بيمه اتكايي به همراه اظهارنظر حسابرس در خصوص آن </w:t>
      </w:r>
      <w:proofErr w:type="gramStart"/>
      <w:r w:rsidRPr="004C3A62">
        <w:rPr>
          <w:rFonts w:ascii="Times New Roman" w:eastAsia="Times New Roman" w:hAnsi="Times New Roman" w:cs="B Nazanin"/>
          <w:sz w:val="24"/>
          <w:szCs w:val="24"/>
          <w:rtl/>
        </w:rPr>
        <w:t>و تأييديه</w:t>
      </w:r>
      <w:proofErr w:type="gramEnd"/>
      <w:r w:rsidRPr="004C3A62">
        <w:rPr>
          <w:rFonts w:ascii="Times New Roman" w:eastAsia="Times New Roman" w:hAnsi="Times New Roman" w:cs="B Nazanin"/>
          <w:sz w:val="24"/>
          <w:szCs w:val="24"/>
          <w:rtl/>
        </w:rPr>
        <w:t xml:space="preserve"> بيمه مركزي در خصوص انتشار اوراق را به سازمان ارسال نمايد</w:t>
      </w:r>
      <w:r w:rsidRPr="004C3A62">
        <w:rPr>
          <w:rFonts w:ascii="Times New Roman" w:eastAsia="Times New Roman" w:hAnsi="Times New Roman" w:cs="B Nazanin"/>
          <w:sz w:val="24"/>
          <w:szCs w:val="24"/>
        </w:rPr>
        <w:t xml:space="preserve">. </w:t>
      </w:r>
    </w:p>
    <w:p w:rsidR="004C3A62" w:rsidRPr="004C3A62" w:rsidRDefault="004C3A62" w:rsidP="009D3F94">
      <w:pPr>
        <w:numPr>
          <w:ilvl w:val="1"/>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ماده </w:t>
      </w:r>
      <w:r w:rsidR="009D3F94">
        <w:rPr>
          <w:rFonts w:ascii="Times New Roman" w:eastAsia="Times New Roman" w:hAnsi="Times New Roman" w:cs="B Nazanin" w:hint="cs"/>
          <w:b/>
          <w:bCs/>
          <w:sz w:val="24"/>
          <w:szCs w:val="24"/>
          <w:rtl/>
        </w:rPr>
        <w:t>19</w:t>
      </w:r>
      <w:r w:rsidRPr="004C3A62">
        <w:rPr>
          <w:rFonts w:ascii="Times New Roman" w:eastAsia="Times New Roman" w:hAnsi="Times New Roman" w:cs="B Nazanin"/>
          <w:b/>
          <w:bCs/>
          <w:sz w:val="24"/>
          <w:szCs w:val="24"/>
        </w:rPr>
        <w:t xml:space="preserve">: </w:t>
      </w:r>
    </w:p>
    <w:p w:rsid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tl/>
        </w:rPr>
      </w:pPr>
      <w:r w:rsidRPr="004C3A62">
        <w:rPr>
          <w:rFonts w:ascii="Times New Roman" w:eastAsia="Times New Roman" w:hAnsi="Times New Roman" w:cs="B Nazanin"/>
          <w:sz w:val="24"/>
          <w:szCs w:val="24"/>
          <w:rtl/>
        </w:rPr>
        <w:t xml:space="preserve">باني بايد تأييديه بيمه مركزي براي انتشار اوراق بيمه اتكايي توسط شركت هاي بيمه </w:t>
      </w:r>
      <w:proofErr w:type="gramStart"/>
      <w:r w:rsidRPr="004C3A62">
        <w:rPr>
          <w:rFonts w:ascii="Times New Roman" w:eastAsia="Times New Roman" w:hAnsi="Times New Roman" w:cs="B Nazanin"/>
          <w:sz w:val="24"/>
          <w:szCs w:val="24"/>
          <w:rtl/>
        </w:rPr>
        <w:t>و يا</w:t>
      </w:r>
      <w:proofErr w:type="gramEnd"/>
      <w:r w:rsidRPr="004C3A62">
        <w:rPr>
          <w:rFonts w:ascii="Times New Roman" w:eastAsia="Times New Roman" w:hAnsi="Times New Roman" w:cs="B Nazanin"/>
          <w:sz w:val="24"/>
          <w:szCs w:val="24"/>
          <w:rtl/>
        </w:rPr>
        <w:t xml:space="preserve"> مصوبه مجمع عمومي بيمه مركزي براي انتشار اوراق بيمه اتكايي توسط بيمه مركزي به همراه گزارش توجيهي كه كليه صفحات آن توسط بيمه مركزي مهر شده باشد را به سازمان ارسال كند</w:t>
      </w:r>
      <w:r w:rsidRPr="004C3A62">
        <w:rPr>
          <w:rFonts w:ascii="Times New Roman" w:eastAsia="Times New Roman" w:hAnsi="Times New Roman" w:cs="B Nazanin"/>
          <w:sz w:val="24"/>
          <w:szCs w:val="24"/>
        </w:rPr>
        <w:t xml:space="preserve">. </w:t>
      </w:r>
    </w:p>
    <w:p w:rsidR="00246079" w:rsidRPr="004C3A62" w:rsidRDefault="00246079" w:rsidP="00246079">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p>
    <w:p w:rsidR="004C3A62" w:rsidRPr="004C3A62" w:rsidRDefault="004C3A62" w:rsidP="009D3F94">
      <w:pPr>
        <w:numPr>
          <w:ilvl w:val="1"/>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lastRenderedPageBreak/>
        <w:t xml:space="preserve">ماده </w:t>
      </w:r>
      <w:r w:rsidR="009D3F94">
        <w:rPr>
          <w:rFonts w:ascii="Times New Roman" w:eastAsia="Times New Roman" w:hAnsi="Times New Roman" w:cs="B Nazanin" w:hint="cs"/>
          <w:b/>
          <w:bCs/>
          <w:sz w:val="24"/>
          <w:szCs w:val="24"/>
          <w:rtl/>
        </w:rPr>
        <w:t>20</w:t>
      </w:r>
      <w:r w:rsidRPr="004C3A62">
        <w:rPr>
          <w:rFonts w:ascii="Times New Roman" w:eastAsia="Times New Roman" w:hAnsi="Times New Roman" w:cs="B Nazanin"/>
          <w:b/>
          <w:bCs/>
          <w:sz w:val="24"/>
          <w:szCs w:val="24"/>
        </w:rPr>
        <w:t xml:space="preserve">: </w:t>
      </w:r>
    </w:p>
    <w:p w:rsid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tl/>
        </w:rPr>
      </w:pPr>
      <w:r w:rsidRPr="004C3A62">
        <w:rPr>
          <w:rFonts w:ascii="Times New Roman" w:eastAsia="Times New Roman" w:hAnsi="Times New Roman" w:cs="B Nazanin"/>
          <w:sz w:val="24"/>
          <w:szCs w:val="24"/>
          <w:rtl/>
        </w:rPr>
        <w:t xml:space="preserve">باني نبايد هيچگونه محدوديت يا منع قانوني، قراردادي يا قضايي براي انعقاد قرارداد بيمه اتكايي با نهاد واسط داشته باشد، در غير اين صورت مسئول جبران خسارات وارده به اركان </w:t>
      </w:r>
      <w:proofErr w:type="gramStart"/>
      <w:r w:rsidRPr="004C3A62">
        <w:rPr>
          <w:rFonts w:ascii="Times New Roman" w:eastAsia="Times New Roman" w:hAnsi="Times New Roman" w:cs="B Nazanin"/>
          <w:sz w:val="24"/>
          <w:szCs w:val="24"/>
          <w:rtl/>
        </w:rPr>
        <w:t>و دارندگان</w:t>
      </w:r>
      <w:proofErr w:type="gramEnd"/>
      <w:r w:rsidRPr="004C3A62">
        <w:rPr>
          <w:rFonts w:ascii="Times New Roman" w:eastAsia="Times New Roman" w:hAnsi="Times New Roman" w:cs="B Nazanin"/>
          <w:sz w:val="24"/>
          <w:szCs w:val="24"/>
          <w:rtl/>
        </w:rPr>
        <w:t xml:space="preserve"> اوراق است</w:t>
      </w:r>
      <w:r w:rsidRPr="004C3A62">
        <w:rPr>
          <w:rFonts w:ascii="Times New Roman" w:eastAsia="Times New Roman" w:hAnsi="Times New Roman" w:cs="B Nazanin"/>
          <w:sz w:val="24"/>
          <w:szCs w:val="24"/>
        </w:rPr>
        <w:t xml:space="preserve">. </w:t>
      </w:r>
    </w:p>
    <w:p w:rsidR="004C3A62" w:rsidRPr="004C3A62" w:rsidRDefault="009D3F94" w:rsidP="004C3A62">
      <w:pPr>
        <w:numPr>
          <w:ilvl w:val="1"/>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Pr>
          <w:rFonts w:ascii="Times New Roman" w:eastAsia="Times New Roman" w:hAnsi="Times New Roman" w:cs="B Nazanin" w:hint="cs"/>
          <w:b/>
          <w:bCs/>
          <w:sz w:val="24"/>
          <w:szCs w:val="24"/>
          <w:rtl/>
        </w:rPr>
        <w:t>ماده 21</w:t>
      </w:r>
      <w:r w:rsidR="004C3A62"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 xml:space="preserve">حقوق </w:t>
      </w:r>
      <w:proofErr w:type="gramStart"/>
      <w:r w:rsidRPr="004C3A62">
        <w:rPr>
          <w:rFonts w:ascii="Times New Roman" w:eastAsia="Times New Roman" w:hAnsi="Times New Roman" w:cs="B Nazanin"/>
          <w:sz w:val="24"/>
          <w:szCs w:val="24"/>
          <w:rtl/>
        </w:rPr>
        <w:t>و تعهدات</w:t>
      </w:r>
      <w:proofErr w:type="gramEnd"/>
      <w:r w:rsidRPr="004C3A62">
        <w:rPr>
          <w:rFonts w:ascii="Times New Roman" w:eastAsia="Times New Roman" w:hAnsi="Times New Roman" w:cs="B Nazanin"/>
          <w:sz w:val="24"/>
          <w:szCs w:val="24"/>
          <w:rtl/>
        </w:rPr>
        <w:t xml:space="preserve"> باني و نهاد واسط بايد در قرارداد بيمة اتكايي تعيين شده باشد. با سررسيد اوراق كليه تعهدات نهاد واسط در خصوص قرارداد اتكايي به اتمام رسيده </w:t>
      </w:r>
      <w:proofErr w:type="gramStart"/>
      <w:r w:rsidRPr="004C3A62">
        <w:rPr>
          <w:rFonts w:ascii="Times New Roman" w:eastAsia="Times New Roman" w:hAnsi="Times New Roman" w:cs="B Nazanin"/>
          <w:sz w:val="24"/>
          <w:szCs w:val="24"/>
          <w:rtl/>
        </w:rPr>
        <w:t>و مسئوليت</w:t>
      </w:r>
      <w:proofErr w:type="gramEnd"/>
      <w:r w:rsidRPr="004C3A62">
        <w:rPr>
          <w:rFonts w:ascii="Times New Roman" w:eastAsia="Times New Roman" w:hAnsi="Times New Roman" w:cs="B Nazanin"/>
          <w:sz w:val="24"/>
          <w:szCs w:val="24"/>
          <w:rtl/>
        </w:rPr>
        <w:t xml:space="preserve"> پرداخت خسارات گزارش شده بعد از تاريخ مذكور بر عهده باني است</w:t>
      </w:r>
      <w:r w:rsidRPr="004C3A62">
        <w:rPr>
          <w:rFonts w:ascii="Times New Roman" w:eastAsia="Times New Roman" w:hAnsi="Times New Roman" w:cs="B Nazanin"/>
          <w:sz w:val="24"/>
          <w:szCs w:val="24"/>
        </w:rPr>
        <w:t xml:space="preserve">. </w:t>
      </w:r>
    </w:p>
    <w:p w:rsidR="004870A8" w:rsidRPr="004870A8" w:rsidRDefault="004C3A62" w:rsidP="004870A8">
      <w:pPr>
        <w:numPr>
          <w:ilvl w:val="1"/>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ماده </w:t>
      </w:r>
      <w:r w:rsidR="004870A8">
        <w:rPr>
          <w:rFonts w:ascii="Times New Roman" w:eastAsia="Times New Roman" w:hAnsi="Times New Roman" w:cs="B Nazanin" w:hint="cs"/>
          <w:b/>
          <w:bCs/>
          <w:sz w:val="24"/>
          <w:szCs w:val="24"/>
          <w:rtl/>
        </w:rPr>
        <w:t>22</w:t>
      </w:r>
      <w:r w:rsidRPr="004C3A62">
        <w:rPr>
          <w:rFonts w:ascii="Times New Roman" w:eastAsia="Times New Roman" w:hAnsi="Times New Roman" w:cs="B Nazanin"/>
          <w:b/>
          <w:bCs/>
          <w:sz w:val="24"/>
          <w:szCs w:val="24"/>
        </w:rPr>
        <w:t xml:space="preserve">: </w:t>
      </w:r>
    </w:p>
    <w:p w:rsidR="004C3A62" w:rsidRPr="004C3A62" w:rsidRDefault="004C3A62" w:rsidP="004870A8">
      <w:pPr>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 xml:space="preserve">كشف قيمت اوراق بيمه اتكايي، بر اساس ساز </w:t>
      </w:r>
      <w:proofErr w:type="gramStart"/>
      <w:r w:rsidRPr="004C3A62">
        <w:rPr>
          <w:rFonts w:ascii="Times New Roman" w:eastAsia="Times New Roman" w:hAnsi="Times New Roman" w:cs="B Nazanin"/>
          <w:sz w:val="24"/>
          <w:szCs w:val="24"/>
          <w:rtl/>
        </w:rPr>
        <w:t>و كار</w:t>
      </w:r>
      <w:proofErr w:type="gramEnd"/>
      <w:r w:rsidRPr="004C3A62">
        <w:rPr>
          <w:rFonts w:ascii="Times New Roman" w:eastAsia="Times New Roman" w:hAnsi="Times New Roman" w:cs="B Nazanin"/>
          <w:sz w:val="24"/>
          <w:szCs w:val="24"/>
          <w:rtl/>
        </w:rPr>
        <w:t xml:space="preserve"> عرضه و تقاضا در بازار تعيين مي‌شود</w:t>
      </w:r>
      <w:r w:rsidRPr="004C3A62">
        <w:rPr>
          <w:rFonts w:ascii="Times New Roman" w:eastAsia="Times New Roman" w:hAnsi="Times New Roman" w:cs="B Nazanin"/>
          <w:sz w:val="24"/>
          <w:szCs w:val="24"/>
        </w:rPr>
        <w:t>.</w:t>
      </w:r>
    </w:p>
    <w:p w:rsidR="004C3A62" w:rsidRPr="004C3A62" w:rsidRDefault="004C3A62" w:rsidP="004870A8">
      <w:pPr>
        <w:numPr>
          <w:ilvl w:val="1"/>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ماده </w:t>
      </w:r>
      <w:r w:rsidR="004870A8">
        <w:rPr>
          <w:rFonts w:ascii="Times New Roman" w:eastAsia="Times New Roman" w:hAnsi="Times New Roman" w:cs="B Nazanin" w:hint="cs"/>
          <w:b/>
          <w:bCs/>
          <w:sz w:val="24"/>
          <w:szCs w:val="24"/>
          <w:rtl/>
        </w:rPr>
        <w:t>23</w:t>
      </w:r>
      <w:r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قراردادهاي مبناي انتشار اوراق بيمه اتكايي بايد در راستاي موضوع فعاليت باني باشد</w:t>
      </w:r>
      <w:r w:rsidRPr="004C3A62">
        <w:rPr>
          <w:rFonts w:ascii="Times New Roman" w:eastAsia="Times New Roman" w:hAnsi="Times New Roman" w:cs="B Nazanin"/>
          <w:sz w:val="24"/>
          <w:szCs w:val="24"/>
        </w:rPr>
        <w:t xml:space="preserve">. </w:t>
      </w:r>
    </w:p>
    <w:p w:rsidR="004C3A62" w:rsidRPr="004C3A62" w:rsidRDefault="004C3A62" w:rsidP="004870A8">
      <w:pPr>
        <w:numPr>
          <w:ilvl w:val="1"/>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ماده</w:t>
      </w:r>
      <w:r w:rsidR="004870A8">
        <w:rPr>
          <w:rFonts w:ascii="Times New Roman" w:eastAsia="Times New Roman" w:hAnsi="Times New Roman" w:cs="B Nazanin" w:hint="cs"/>
          <w:b/>
          <w:bCs/>
          <w:sz w:val="24"/>
          <w:szCs w:val="24"/>
          <w:rtl/>
        </w:rPr>
        <w:t xml:space="preserve"> 24</w:t>
      </w:r>
      <w:r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تمامي مجوزهاي قانوني لازم براي انعقاد قراردادهاي بيمه اتكايي بايد از مراجع ذيربط اخذ شده باشد</w:t>
      </w:r>
      <w:r w:rsidRPr="004C3A62">
        <w:rPr>
          <w:rFonts w:ascii="Times New Roman" w:eastAsia="Times New Roman" w:hAnsi="Times New Roman" w:cs="B Nazanin"/>
          <w:sz w:val="24"/>
          <w:szCs w:val="24"/>
        </w:rPr>
        <w:t xml:space="preserve">. </w:t>
      </w:r>
    </w:p>
    <w:p w:rsidR="004C3A62" w:rsidRPr="004C3A62" w:rsidRDefault="004C3A62" w:rsidP="004870A8">
      <w:pPr>
        <w:numPr>
          <w:ilvl w:val="1"/>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ماده </w:t>
      </w:r>
      <w:r w:rsidR="004870A8">
        <w:rPr>
          <w:rFonts w:ascii="Times New Roman" w:eastAsia="Times New Roman" w:hAnsi="Times New Roman" w:cs="B Nazanin" w:hint="cs"/>
          <w:b/>
          <w:bCs/>
          <w:sz w:val="24"/>
          <w:szCs w:val="24"/>
          <w:rtl/>
        </w:rPr>
        <w:t>25</w:t>
      </w:r>
      <w:r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حداكثر تعهدات نهاد واسط در مقابل باني محدود به مبالغ مندرج در قرارداد اتكايي في مابين است</w:t>
      </w:r>
      <w:r w:rsidRPr="004C3A62">
        <w:rPr>
          <w:rFonts w:ascii="Times New Roman" w:eastAsia="Times New Roman" w:hAnsi="Times New Roman" w:cs="B Nazanin"/>
          <w:sz w:val="24"/>
          <w:szCs w:val="24"/>
        </w:rPr>
        <w:t xml:space="preserve">. </w:t>
      </w:r>
    </w:p>
    <w:p w:rsidR="004C3A62" w:rsidRPr="004C3A62" w:rsidRDefault="004C3A62" w:rsidP="004870A8">
      <w:pPr>
        <w:numPr>
          <w:ilvl w:val="1"/>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ماده </w:t>
      </w:r>
      <w:r w:rsidR="004870A8">
        <w:rPr>
          <w:rFonts w:ascii="Times New Roman" w:eastAsia="Times New Roman" w:hAnsi="Times New Roman" w:cs="B Nazanin" w:hint="cs"/>
          <w:b/>
          <w:bCs/>
          <w:sz w:val="24"/>
          <w:szCs w:val="24"/>
          <w:rtl/>
        </w:rPr>
        <w:t>26</w:t>
      </w:r>
      <w:r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 xml:space="preserve">پس از انتقال ريسك بيمه‌اي به نهاد واسط طي قرارداد بيمه اتكايي، رسيدگي </w:t>
      </w:r>
      <w:proofErr w:type="gramStart"/>
      <w:r w:rsidRPr="004C3A62">
        <w:rPr>
          <w:rFonts w:ascii="Times New Roman" w:eastAsia="Times New Roman" w:hAnsi="Times New Roman" w:cs="B Nazanin"/>
          <w:sz w:val="24"/>
          <w:szCs w:val="24"/>
          <w:rtl/>
        </w:rPr>
        <w:t>و پرداخت</w:t>
      </w:r>
      <w:proofErr w:type="gramEnd"/>
      <w:r w:rsidRPr="004C3A62">
        <w:rPr>
          <w:rFonts w:ascii="Times New Roman" w:eastAsia="Times New Roman" w:hAnsi="Times New Roman" w:cs="B Nazanin"/>
          <w:sz w:val="24"/>
          <w:szCs w:val="24"/>
          <w:rtl/>
        </w:rPr>
        <w:t xml:space="preserve"> خسارت به وكالت از نهاد واسط بر عهدة باني است. قرارداد بيمه اتكايي بايد به طور صريح اين موضوع را بيان كند</w:t>
      </w:r>
      <w:r w:rsidRPr="004C3A62">
        <w:rPr>
          <w:rFonts w:ascii="Times New Roman" w:eastAsia="Times New Roman" w:hAnsi="Times New Roman" w:cs="B Nazanin"/>
          <w:sz w:val="24"/>
          <w:szCs w:val="24"/>
        </w:rPr>
        <w:t xml:space="preserve">. </w:t>
      </w:r>
    </w:p>
    <w:p w:rsidR="004C3A62" w:rsidRPr="004C3A62" w:rsidRDefault="004C3A62" w:rsidP="004870A8">
      <w:pPr>
        <w:numPr>
          <w:ilvl w:val="1"/>
          <w:numId w:val="2"/>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ماده </w:t>
      </w:r>
      <w:r w:rsidR="004870A8">
        <w:rPr>
          <w:rFonts w:ascii="Times New Roman" w:eastAsia="Times New Roman" w:hAnsi="Times New Roman" w:cs="B Nazanin" w:hint="cs"/>
          <w:b/>
          <w:bCs/>
          <w:sz w:val="24"/>
          <w:szCs w:val="24"/>
          <w:rtl/>
        </w:rPr>
        <w:t>27</w:t>
      </w:r>
      <w:r w:rsidRPr="004C3A62">
        <w:rPr>
          <w:rFonts w:ascii="Times New Roman" w:eastAsia="Times New Roman" w:hAnsi="Times New Roman" w:cs="B Nazanin"/>
          <w:b/>
          <w:bCs/>
          <w:sz w:val="24"/>
          <w:szCs w:val="24"/>
        </w:rPr>
        <w:t xml:space="preserve">: </w:t>
      </w:r>
    </w:p>
    <w:p w:rsid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tl/>
        </w:rPr>
      </w:pPr>
      <w:r w:rsidRPr="004C3A62">
        <w:rPr>
          <w:rFonts w:ascii="Times New Roman" w:eastAsia="Times New Roman" w:hAnsi="Times New Roman" w:cs="B Nazanin"/>
          <w:sz w:val="24"/>
          <w:szCs w:val="24"/>
          <w:rtl/>
        </w:rPr>
        <w:t xml:space="preserve">قراردادهاي قابل پذيرش براي انتشار اوراق بيمه اتكايي بايد از نوع قرارداد هاي مازاد خسارت باشد. پذيرش ساير قراردادها </w:t>
      </w:r>
      <w:proofErr w:type="gramStart"/>
      <w:r w:rsidRPr="004C3A62">
        <w:rPr>
          <w:rFonts w:ascii="Times New Roman" w:eastAsia="Times New Roman" w:hAnsi="Times New Roman" w:cs="B Nazanin"/>
          <w:sz w:val="24"/>
          <w:szCs w:val="24"/>
          <w:rtl/>
        </w:rPr>
        <w:t>جهت</w:t>
      </w:r>
      <w:proofErr w:type="gramEnd"/>
      <w:r w:rsidRPr="004C3A62">
        <w:rPr>
          <w:rFonts w:ascii="Times New Roman" w:eastAsia="Times New Roman" w:hAnsi="Times New Roman" w:cs="B Nazanin"/>
          <w:sz w:val="24"/>
          <w:szCs w:val="24"/>
          <w:rtl/>
        </w:rPr>
        <w:t xml:space="preserve"> انتشار اوراق بيمه اتكايي به پيشنهاد بيمه مركزي و تأييد سازمان امكان</w:t>
      </w:r>
      <w:r w:rsidRPr="004C3A62">
        <w:rPr>
          <w:rFonts w:ascii="Times New Roman" w:eastAsia="Times New Roman" w:hAnsi="Times New Roman" w:cs="B Nazanin" w:hint="cs"/>
          <w:sz w:val="24"/>
          <w:szCs w:val="24"/>
          <w:rtl/>
        </w:rPr>
        <w:t>پذير</w:t>
      </w:r>
      <w:r w:rsidRPr="004C3A62">
        <w:rPr>
          <w:rFonts w:ascii="Times New Roman" w:eastAsia="Times New Roman" w:hAnsi="Times New Roman" w:cs="B Nazanin"/>
          <w:sz w:val="24"/>
          <w:szCs w:val="24"/>
          <w:rtl/>
        </w:rPr>
        <w:t xml:space="preserve"> </w:t>
      </w:r>
      <w:r w:rsidRPr="004C3A62">
        <w:rPr>
          <w:rFonts w:ascii="Times New Roman" w:eastAsia="Times New Roman" w:hAnsi="Times New Roman" w:cs="B Nazanin" w:hint="cs"/>
          <w:sz w:val="24"/>
          <w:szCs w:val="24"/>
          <w:rtl/>
        </w:rPr>
        <w:t>است</w:t>
      </w:r>
      <w:r w:rsidRPr="004C3A62">
        <w:rPr>
          <w:rFonts w:ascii="Times New Roman" w:eastAsia="Times New Roman" w:hAnsi="Times New Roman" w:cs="B Nazanin"/>
          <w:sz w:val="24"/>
          <w:szCs w:val="24"/>
        </w:rPr>
        <w:t xml:space="preserve">. </w:t>
      </w:r>
    </w:p>
    <w:p w:rsidR="00246079" w:rsidRDefault="00246079" w:rsidP="00246079">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tl/>
        </w:rPr>
      </w:pPr>
    </w:p>
    <w:p w:rsidR="00246079" w:rsidRPr="004C3A62" w:rsidRDefault="00246079" w:rsidP="00246079">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p>
    <w:p w:rsidR="004C3A62" w:rsidRPr="004C3A62" w:rsidRDefault="004C3A62" w:rsidP="004C3A62">
      <w:pPr>
        <w:numPr>
          <w:ilvl w:val="0"/>
          <w:numId w:val="3"/>
        </w:numPr>
        <w:tabs>
          <w:tab w:val="clear" w:pos="720"/>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lastRenderedPageBreak/>
        <w:t xml:space="preserve">بخش سه </w:t>
      </w:r>
      <w:r w:rsidRPr="004C3A62">
        <w:rPr>
          <w:rFonts w:ascii="Times New Roman" w:eastAsia="Times New Roman" w:hAnsi="Times New Roman" w:cs="Times New Roman" w:hint="cs"/>
          <w:b/>
          <w:bCs/>
          <w:sz w:val="24"/>
          <w:szCs w:val="24"/>
          <w:rtl/>
        </w:rPr>
        <w:t>–</w:t>
      </w:r>
      <w:r w:rsidRPr="004C3A62">
        <w:rPr>
          <w:rFonts w:ascii="Times New Roman" w:eastAsia="Times New Roman" w:hAnsi="Times New Roman" w:cs="B Nazanin"/>
          <w:b/>
          <w:bCs/>
          <w:sz w:val="24"/>
          <w:szCs w:val="24"/>
          <w:rtl/>
        </w:rPr>
        <w:t xml:space="preserve"> </w:t>
      </w:r>
      <w:r w:rsidRPr="004C3A62">
        <w:rPr>
          <w:rFonts w:ascii="Times New Roman" w:eastAsia="Times New Roman" w:hAnsi="Times New Roman" w:cs="B Nazanin" w:hint="cs"/>
          <w:b/>
          <w:bCs/>
          <w:sz w:val="24"/>
          <w:szCs w:val="24"/>
          <w:rtl/>
        </w:rPr>
        <w:t>شرايط</w:t>
      </w:r>
      <w:r w:rsidRPr="004C3A62">
        <w:rPr>
          <w:rFonts w:ascii="Times New Roman" w:eastAsia="Times New Roman" w:hAnsi="Times New Roman" w:cs="B Nazanin"/>
          <w:b/>
          <w:bCs/>
          <w:sz w:val="24"/>
          <w:szCs w:val="24"/>
          <w:rtl/>
        </w:rPr>
        <w:t xml:space="preserve"> </w:t>
      </w:r>
      <w:r w:rsidRPr="004C3A62">
        <w:rPr>
          <w:rFonts w:ascii="Times New Roman" w:eastAsia="Times New Roman" w:hAnsi="Times New Roman" w:cs="B Nazanin" w:hint="cs"/>
          <w:b/>
          <w:bCs/>
          <w:sz w:val="24"/>
          <w:szCs w:val="24"/>
          <w:rtl/>
        </w:rPr>
        <w:t>اوراق</w:t>
      </w:r>
      <w:r w:rsidRPr="004C3A62">
        <w:rPr>
          <w:rFonts w:ascii="Times New Roman" w:eastAsia="Times New Roman" w:hAnsi="Times New Roman" w:cs="B Nazanin"/>
          <w:b/>
          <w:bCs/>
          <w:sz w:val="24"/>
          <w:szCs w:val="24"/>
          <w:rtl/>
        </w:rPr>
        <w:t xml:space="preserve"> </w:t>
      </w:r>
      <w:r w:rsidRPr="004C3A62">
        <w:rPr>
          <w:rFonts w:ascii="Times New Roman" w:eastAsia="Times New Roman" w:hAnsi="Times New Roman" w:cs="B Nazanin" w:hint="cs"/>
          <w:b/>
          <w:bCs/>
          <w:sz w:val="24"/>
          <w:szCs w:val="24"/>
          <w:rtl/>
        </w:rPr>
        <w:t>بيمه</w:t>
      </w:r>
      <w:r w:rsidRPr="004C3A62">
        <w:rPr>
          <w:rFonts w:ascii="Times New Roman" w:eastAsia="Times New Roman" w:hAnsi="Times New Roman" w:cs="B Nazanin"/>
          <w:b/>
          <w:bCs/>
          <w:sz w:val="24"/>
          <w:szCs w:val="24"/>
          <w:rtl/>
        </w:rPr>
        <w:t xml:space="preserve"> </w:t>
      </w:r>
      <w:r w:rsidRPr="004C3A62">
        <w:rPr>
          <w:rFonts w:ascii="Times New Roman" w:eastAsia="Times New Roman" w:hAnsi="Times New Roman" w:cs="B Nazanin" w:hint="cs"/>
          <w:b/>
          <w:bCs/>
          <w:sz w:val="24"/>
          <w:szCs w:val="24"/>
          <w:rtl/>
        </w:rPr>
        <w:t>اتكايي</w:t>
      </w:r>
      <w:r w:rsidRPr="004C3A62">
        <w:rPr>
          <w:rFonts w:ascii="Times New Roman" w:eastAsia="Times New Roman" w:hAnsi="Times New Roman" w:cs="B Nazanin"/>
          <w:b/>
          <w:bCs/>
          <w:sz w:val="24"/>
          <w:szCs w:val="24"/>
        </w:rPr>
        <w:t xml:space="preserve">: </w:t>
      </w:r>
    </w:p>
    <w:p w:rsidR="004C3A62" w:rsidRPr="004C3A62" w:rsidRDefault="004C3A62" w:rsidP="004870A8">
      <w:pPr>
        <w:numPr>
          <w:ilvl w:val="1"/>
          <w:numId w:val="3"/>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ماده </w:t>
      </w:r>
      <w:r w:rsidR="004870A8">
        <w:rPr>
          <w:rFonts w:ascii="Times New Roman" w:eastAsia="Times New Roman" w:hAnsi="Times New Roman" w:cs="B Nazanin" w:hint="cs"/>
          <w:b/>
          <w:bCs/>
          <w:sz w:val="24"/>
          <w:szCs w:val="24"/>
          <w:rtl/>
        </w:rPr>
        <w:t>28</w:t>
      </w:r>
      <w:r w:rsidRPr="004C3A62">
        <w:rPr>
          <w:rFonts w:ascii="Times New Roman" w:eastAsia="Times New Roman" w:hAnsi="Times New Roman" w:cs="B Nazanin"/>
          <w:b/>
          <w:bCs/>
          <w:sz w:val="24"/>
          <w:szCs w:val="24"/>
        </w:rPr>
        <w:t xml:space="preserve">: </w:t>
      </w:r>
    </w:p>
    <w:p w:rsid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tl/>
        </w:rPr>
      </w:pPr>
      <w:r w:rsidRPr="004C3A62">
        <w:rPr>
          <w:rFonts w:ascii="Times New Roman" w:eastAsia="Times New Roman" w:hAnsi="Times New Roman" w:cs="B Nazanin"/>
          <w:sz w:val="24"/>
          <w:szCs w:val="24"/>
          <w:rtl/>
        </w:rPr>
        <w:t xml:space="preserve">خريداران ضمن خريد اوراق بيمه اتكايي به نهاد واسط وكالت بلاعزل مي‌دهند تا با دريافت حق بيمه نسبت به انعقاد قرارداد بيمه اتكايي با باني اقدام نمايد. خريد اوراق در بازار اوليه </w:t>
      </w:r>
      <w:proofErr w:type="gramStart"/>
      <w:r w:rsidRPr="004C3A62">
        <w:rPr>
          <w:rFonts w:ascii="Times New Roman" w:eastAsia="Times New Roman" w:hAnsi="Times New Roman" w:cs="B Nazanin"/>
          <w:sz w:val="24"/>
          <w:szCs w:val="24"/>
          <w:rtl/>
        </w:rPr>
        <w:t>و ثانويه</w:t>
      </w:r>
      <w:proofErr w:type="gramEnd"/>
      <w:r w:rsidRPr="004C3A62">
        <w:rPr>
          <w:rFonts w:ascii="Times New Roman" w:eastAsia="Times New Roman" w:hAnsi="Times New Roman" w:cs="B Nazanin"/>
          <w:sz w:val="24"/>
          <w:szCs w:val="24"/>
          <w:rtl/>
        </w:rPr>
        <w:t xml:space="preserve"> به منزله قبول وكالت نهاد واسط بوده و وكالت نهاد واسط تا سررسيد و تسويه نهايي اوراق بيمه اتكايي معتبر، نافذ و غير قابل عزل است</w:t>
      </w:r>
      <w:r w:rsidRPr="004C3A62">
        <w:rPr>
          <w:rFonts w:ascii="Times New Roman" w:eastAsia="Times New Roman" w:hAnsi="Times New Roman" w:cs="B Nazanin"/>
          <w:sz w:val="24"/>
          <w:szCs w:val="24"/>
        </w:rPr>
        <w:t xml:space="preserve">. </w:t>
      </w:r>
    </w:p>
    <w:p w:rsidR="004C3A62" w:rsidRPr="004C3A62" w:rsidRDefault="004C3A62" w:rsidP="004C3A62">
      <w:pPr>
        <w:numPr>
          <w:ilvl w:val="2"/>
          <w:numId w:val="3"/>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تبصره</w:t>
      </w:r>
      <w:r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 xml:space="preserve">خريداران اوراق بيمه اتكايي موظفند در هنگام خريد اوراق نسبت به تأييد اقرارنامه </w:t>
      </w:r>
      <w:proofErr w:type="gramStart"/>
      <w:r w:rsidRPr="004C3A62">
        <w:rPr>
          <w:rFonts w:ascii="Times New Roman" w:eastAsia="Times New Roman" w:hAnsi="Times New Roman" w:cs="B Nazanin"/>
          <w:sz w:val="24"/>
          <w:szCs w:val="24"/>
          <w:rtl/>
        </w:rPr>
        <w:t>و بيانيه</w:t>
      </w:r>
      <w:proofErr w:type="gramEnd"/>
      <w:r w:rsidRPr="004C3A62">
        <w:rPr>
          <w:rFonts w:ascii="Times New Roman" w:eastAsia="Times New Roman" w:hAnsi="Times New Roman" w:cs="B Nazanin"/>
          <w:sz w:val="24"/>
          <w:szCs w:val="24"/>
          <w:rtl/>
        </w:rPr>
        <w:t xml:space="preserve"> پذيرش ريسك معاملات اوراق بيمه اتكايي اقدام نمايند</w:t>
      </w:r>
      <w:r w:rsidRPr="004C3A62">
        <w:rPr>
          <w:rFonts w:ascii="Times New Roman" w:eastAsia="Times New Roman" w:hAnsi="Times New Roman" w:cs="B Nazanin"/>
          <w:sz w:val="24"/>
          <w:szCs w:val="24"/>
        </w:rPr>
        <w:t xml:space="preserve">. </w:t>
      </w:r>
    </w:p>
    <w:p w:rsidR="004C3A62" w:rsidRPr="004C3A62" w:rsidRDefault="004C3A62" w:rsidP="004870A8">
      <w:pPr>
        <w:numPr>
          <w:ilvl w:val="1"/>
          <w:numId w:val="3"/>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ماده </w:t>
      </w:r>
      <w:r w:rsidR="004870A8">
        <w:rPr>
          <w:rFonts w:ascii="Times New Roman" w:eastAsia="Times New Roman" w:hAnsi="Times New Roman" w:cs="B Nazanin" w:hint="cs"/>
          <w:b/>
          <w:bCs/>
          <w:sz w:val="24"/>
          <w:szCs w:val="24"/>
          <w:rtl/>
        </w:rPr>
        <w:t>29</w:t>
      </w:r>
      <w:r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 xml:space="preserve">دورۀ عمر اوراق لزوما همزمان با سررسيد تعهدات مربوط به قرارداد بيمه اتكايي نيست </w:t>
      </w:r>
      <w:proofErr w:type="gramStart"/>
      <w:r w:rsidRPr="004C3A62">
        <w:rPr>
          <w:rFonts w:ascii="Times New Roman" w:eastAsia="Times New Roman" w:hAnsi="Times New Roman" w:cs="B Nazanin"/>
          <w:sz w:val="24"/>
          <w:szCs w:val="24"/>
          <w:rtl/>
        </w:rPr>
        <w:t>و انتشار</w:t>
      </w:r>
      <w:proofErr w:type="gramEnd"/>
      <w:r w:rsidRPr="004C3A62">
        <w:rPr>
          <w:rFonts w:ascii="Times New Roman" w:eastAsia="Times New Roman" w:hAnsi="Times New Roman" w:cs="B Nazanin"/>
          <w:sz w:val="24"/>
          <w:szCs w:val="24"/>
          <w:rtl/>
        </w:rPr>
        <w:t xml:space="preserve"> اوراق بر مبناي مدت معيني از بيمه نامه ها امكان‌پذير است</w:t>
      </w:r>
      <w:r w:rsidRPr="004C3A62">
        <w:rPr>
          <w:rFonts w:ascii="Times New Roman" w:eastAsia="Times New Roman" w:hAnsi="Times New Roman" w:cs="B Nazanin"/>
          <w:sz w:val="24"/>
          <w:szCs w:val="24"/>
        </w:rPr>
        <w:t xml:space="preserve">. </w:t>
      </w:r>
    </w:p>
    <w:p w:rsidR="004870A8" w:rsidRPr="004870A8" w:rsidRDefault="004C3A62" w:rsidP="004870A8">
      <w:pPr>
        <w:numPr>
          <w:ilvl w:val="1"/>
          <w:numId w:val="3"/>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ماده </w:t>
      </w:r>
      <w:r w:rsidR="004870A8">
        <w:rPr>
          <w:rFonts w:ascii="Times New Roman" w:eastAsia="Times New Roman" w:hAnsi="Times New Roman" w:cs="B Nazanin" w:hint="cs"/>
          <w:b/>
          <w:bCs/>
          <w:sz w:val="24"/>
          <w:szCs w:val="24"/>
          <w:rtl/>
        </w:rPr>
        <w:t>30</w:t>
      </w:r>
      <w:r w:rsidRPr="004C3A62">
        <w:rPr>
          <w:rFonts w:ascii="Times New Roman" w:eastAsia="Times New Roman" w:hAnsi="Times New Roman" w:cs="B Nazanin"/>
          <w:b/>
          <w:bCs/>
          <w:sz w:val="24"/>
          <w:szCs w:val="24"/>
        </w:rPr>
        <w:t xml:space="preserve">: </w:t>
      </w:r>
    </w:p>
    <w:p w:rsidR="004C3A62" w:rsidRPr="004C3A62" w:rsidRDefault="004C3A62" w:rsidP="004870A8">
      <w:pPr>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ارزش اسمي مجموع اوراق نبايد كمتر از پانصد ميليارد ريال باشد</w:t>
      </w:r>
      <w:r w:rsidRPr="004C3A62">
        <w:rPr>
          <w:rFonts w:ascii="Times New Roman" w:eastAsia="Times New Roman" w:hAnsi="Times New Roman" w:cs="B Nazanin"/>
          <w:sz w:val="24"/>
          <w:szCs w:val="24"/>
        </w:rPr>
        <w:t>.</w:t>
      </w:r>
    </w:p>
    <w:p w:rsidR="004870A8" w:rsidRPr="004870A8" w:rsidRDefault="004C3A62" w:rsidP="004870A8">
      <w:pPr>
        <w:numPr>
          <w:ilvl w:val="1"/>
          <w:numId w:val="3"/>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ماده </w:t>
      </w:r>
      <w:r w:rsidR="004870A8">
        <w:rPr>
          <w:rFonts w:ascii="Times New Roman" w:eastAsia="Times New Roman" w:hAnsi="Times New Roman" w:cs="B Nazanin" w:hint="cs"/>
          <w:b/>
          <w:bCs/>
          <w:sz w:val="24"/>
          <w:szCs w:val="24"/>
          <w:rtl/>
        </w:rPr>
        <w:t>31</w:t>
      </w:r>
      <w:r w:rsidRPr="004C3A62">
        <w:rPr>
          <w:rFonts w:ascii="Times New Roman" w:eastAsia="Times New Roman" w:hAnsi="Times New Roman" w:cs="B Nazanin"/>
          <w:b/>
          <w:bCs/>
          <w:sz w:val="24"/>
          <w:szCs w:val="24"/>
        </w:rPr>
        <w:t xml:space="preserve">: </w:t>
      </w:r>
    </w:p>
    <w:p w:rsidR="004C3A62" w:rsidRPr="004C3A62" w:rsidRDefault="004C3A62" w:rsidP="004870A8">
      <w:pPr>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باني نمي‌تواند اوراق بيمه اتكايي خود را خريداري نمايد</w:t>
      </w:r>
      <w:r w:rsidRPr="004C3A62">
        <w:rPr>
          <w:rFonts w:ascii="Times New Roman" w:eastAsia="Times New Roman" w:hAnsi="Times New Roman" w:cs="B Nazanin"/>
          <w:sz w:val="24"/>
          <w:szCs w:val="24"/>
        </w:rPr>
        <w:t>.</w:t>
      </w:r>
    </w:p>
    <w:p w:rsidR="004C3A62" w:rsidRPr="004C3A62" w:rsidRDefault="004C3A62" w:rsidP="004870A8">
      <w:pPr>
        <w:numPr>
          <w:ilvl w:val="1"/>
          <w:numId w:val="3"/>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ماده </w:t>
      </w:r>
      <w:r w:rsidR="004870A8">
        <w:rPr>
          <w:rFonts w:ascii="Times New Roman" w:eastAsia="Times New Roman" w:hAnsi="Times New Roman" w:cs="B Nazanin" w:hint="cs"/>
          <w:b/>
          <w:bCs/>
          <w:sz w:val="24"/>
          <w:szCs w:val="24"/>
          <w:rtl/>
        </w:rPr>
        <w:t>32</w:t>
      </w:r>
      <w:r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 xml:space="preserve">چگونگي پرداخت </w:t>
      </w:r>
      <w:proofErr w:type="gramStart"/>
      <w:r w:rsidRPr="004C3A62">
        <w:rPr>
          <w:rFonts w:ascii="Times New Roman" w:eastAsia="Times New Roman" w:hAnsi="Times New Roman" w:cs="B Nazanin"/>
          <w:sz w:val="24"/>
          <w:szCs w:val="24"/>
          <w:rtl/>
        </w:rPr>
        <w:t>اصل</w:t>
      </w:r>
      <w:proofErr w:type="gramEnd"/>
      <w:r w:rsidRPr="004C3A62">
        <w:rPr>
          <w:rFonts w:ascii="Times New Roman" w:eastAsia="Times New Roman" w:hAnsi="Times New Roman" w:cs="B Nazanin"/>
          <w:sz w:val="24"/>
          <w:szCs w:val="24"/>
          <w:rtl/>
        </w:rPr>
        <w:t xml:space="preserve"> و فرع مرتبط با اوراق و زمان پرداخت آن بايد در اعلاميۀ پذيره‌نويسي درج گردد</w:t>
      </w:r>
      <w:r w:rsidRPr="004C3A62">
        <w:rPr>
          <w:rFonts w:ascii="Times New Roman" w:eastAsia="Times New Roman" w:hAnsi="Times New Roman" w:cs="B Nazanin"/>
          <w:sz w:val="24"/>
          <w:szCs w:val="24"/>
        </w:rPr>
        <w:t xml:space="preserve">. </w:t>
      </w:r>
    </w:p>
    <w:p w:rsidR="004870A8" w:rsidRPr="004870A8" w:rsidRDefault="004C3A62" w:rsidP="004870A8">
      <w:pPr>
        <w:numPr>
          <w:ilvl w:val="1"/>
          <w:numId w:val="3"/>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ماده </w:t>
      </w:r>
      <w:r w:rsidR="004870A8">
        <w:rPr>
          <w:rFonts w:ascii="Times New Roman" w:eastAsia="Times New Roman" w:hAnsi="Times New Roman" w:cs="B Nazanin" w:hint="cs"/>
          <w:b/>
          <w:bCs/>
          <w:sz w:val="24"/>
          <w:szCs w:val="24"/>
          <w:rtl/>
        </w:rPr>
        <w:t>33</w:t>
      </w:r>
      <w:r w:rsidRPr="004C3A62">
        <w:rPr>
          <w:rFonts w:ascii="Times New Roman" w:eastAsia="Times New Roman" w:hAnsi="Times New Roman" w:cs="B Nazanin"/>
          <w:b/>
          <w:bCs/>
          <w:sz w:val="24"/>
          <w:szCs w:val="24"/>
        </w:rPr>
        <w:t xml:space="preserve">: </w:t>
      </w:r>
    </w:p>
    <w:p w:rsidR="004C3A62" w:rsidRPr="004C3A62" w:rsidRDefault="004C3A62" w:rsidP="004870A8">
      <w:pPr>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تمامي هزينه‌هاي مرتبط با انتشار اوراق بيمه اتكايي به عهده باني است</w:t>
      </w:r>
      <w:r w:rsidRPr="004C3A62">
        <w:rPr>
          <w:rFonts w:ascii="Times New Roman" w:eastAsia="Times New Roman" w:hAnsi="Times New Roman" w:cs="B Nazanin"/>
          <w:sz w:val="24"/>
          <w:szCs w:val="24"/>
        </w:rPr>
        <w:t>.</w:t>
      </w:r>
    </w:p>
    <w:p w:rsidR="004C3A62" w:rsidRPr="004C3A62" w:rsidRDefault="004C3A62" w:rsidP="004870A8">
      <w:pPr>
        <w:numPr>
          <w:ilvl w:val="1"/>
          <w:numId w:val="3"/>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ماده </w:t>
      </w:r>
      <w:r w:rsidR="004870A8">
        <w:rPr>
          <w:rFonts w:ascii="Times New Roman" w:eastAsia="Times New Roman" w:hAnsi="Times New Roman" w:cs="B Nazanin" w:hint="cs"/>
          <w:b/>
          <w:bCs/>
          <w:sz w:val="24"/>
          <w:szCs w:val="24"/>
          <w:rtl/>
        </w:rPr>
        <w:t>34</w:t>
      </w:r>
      <w:r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 xml:space="preserve">حق بيمة دريافتي، وجوه حاصل از انتشار اوراق </w:t>
      </w:r>
      <w:proofErr w:type="gramStart"/>
      <w:r w:rsidRPr="004C3A62">
        <w:rPr>
          <w:rFonts w:ascii="Times New Roman" w:eastAsia="Times New Roman" w:hAnsi="Times New Roman" w:cs="B Nazanin"/>
          <w:sz w:val="24"/>
          <w:szCs w:val="24"/>
          <w:rtl/>
        </w:rPr>
        <w:t>و درآمد</w:t>
      </w:r>
      <w:proofErr w:type="gramEnd"/>
      <w:r w:rsidRPr="004C3A62">
        <w:rPr>
          <w:rFonts w:ascii="Times New Roman" w:eastAsia="Times New Roman" w:hAnsi="Times New Roman" w:cs="B Nazanin"/>
          <w:sz w:val="24"/>
          <w:szCs w:val="24"/>
          <w:rtl/>
        </w:rPr>
        <w:t xml:space="preserve"> ناشي از سرمايه‌گذاري آن ها و هرگونه سود حاصله، متعلق به دارندگان اوراق بوده و پرداخت وجوه مذكور به دارندگان اوراق پس از پرداخت كليه خسارت ها، كارمزد و ساير هزينه هاي مربوط به قرارداد بيمه اتكايي صورت مي گيرد</w:t>
      </w:r>
      <w:r w:rsidRPr="004C3A62">
        <w:rPr>
          <w:rFonts w:ascii="Times New Roman" w:eastAsia="Times New Roman" w:hAnsi="Times New Roman" w:cs="B Nazanin"/>
          <w:sz w:val="24"/>
          <w:szCs w:val="24"/>
        </w:rPr>
        <w:t xml:space="preserve">. </w:t>
      </w:r>
    </w:p>
    <w:p w:rsidR="004C3A62" w:rsidRPr="004C3A62" w:rsidRDefault="004C3A62" w:rsidP="004C3A62">
      <w:pPr>
        <w:numPr>
          <w:ilvl w:val="0"/>
          <w:numId w:val="4"/>
        </w:numPr>
        <w:tabs>
          <w:tab w:val="clear" w:pos="720"/>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lastRenderedPageBreak/>
        <w:t xml:space="preserve">بخش چهار </w:t>
      </w:r>
      <w:r w:rsidRPr="004C3A62">
        <w:rPr>
          <w:rFonts w:ascii="Times New Roman" w:eastAsia="Times New Roman" w:hAnsi="Times New Roman" w:cs="Times New Roman" w:hint="cs"/>
          <w:b/>
          <w:bCs/>
          <w:sz w:val="24"/>
          <w:szCs w:val="24"/>
          <w:rtl/>
        </w:rPr>
        <w:t>–</w:t>
      </w:r>
      <w:r w:rsidRPr="004C3A62">
        <w:rPr>
          <w:rFonts w:ascii="Times New Roman" w:eastAsia="Times New Roman" w:hAnsi="Times New Roman" w:cs="B Nazanin"/>
          <w:b/>
          <w:bCs/>
          <w:sz w:val="24"/>
          <w:szCs w:val="24"/>
          <w:rtl/>
        </w:rPr>
        <w:t xml:space="preserve"> </w:t>
      </w:r>
      <w:r w:rsidRPr="004C3A62">
        <w:rPr>
          <w:rFonts w:ascii="Times New Roman" w:eastAsia="Times New Roman" w:hAnsi="Times New Roman" w:cs="B Nazanin" w:hint="cs"/>
          <w:b/>
          <w:bCs/>
          <w:sz w:val="24"/>
          <w:szCs w:val="24"/>
          <w:rtl/>
        </w:rPr>
        <w:t>شرايط</w:t>
      </w:r>
      <w:r w:rsidRPr="004C3A62">
        <w:rPr>
          <w:rFonts w:ascii="Times New Roman" w:eastAsia="Times New Roman" w:hAnsi="Times New Roman" w:cs="B Nazanin"/>
          <w:b/>
          <w:bCs/>
          <w:sz w:val="24"/>
          <w:szCs w:val="24"/>
          <w:rtl/>
        </w:rPr>
        <w:t xml:space="preserve"> </w:t>
      </w:r>
      <w:r w:rsidRPr="004C3A62">
        <w:rPr>
          <w:rFonts w:ascii="Times New Roman" w:eastAsia="Times New Roman" w:hAnsi="Times New Roman" w:cs="B Nazanin" w:hint="cs"/>
          <w:b/>
          <w:bCs/>
          <w:sz w:val="24"/>
          <w:szCs w:val="24"/>
          <w:rtl/>
        </w:rPr>
        <w:t>صدور</w:t>
      </w:r>
      <w:r w:rsidRPr="004C3A62">
        <w:rPr>
          <w:rFonts w:ascii="Times New Roman" w:eastAsia="Times New Roman" w:hAnsi="Times New Roman" w:cs="B Nazanin"/>
          <w:b/>
          <w:bCs/>
          <w:sz w:val="24"/>
          <w:szCs w:val="24"/>
          <w:rtl/>
        </w:rPr>
        <w:t xml:space="preserve"> </w:t>
      </w:r>
      <w:r w:rsidRPr="004C3A62">
        <w:rPr>
          <w:rFonts w:ascii="Times New Roman" w:eastAsia="Times New Roman" w:hAnsi="Times New Roman" w:cs="B Nazanin" w:hint="cs"/>
          <w:b/>
          <w:bCs/>
          <w:sz w:val="24"/>
          <w:szCs w:val="24"/>
          <w:rtl/>
        </w:rPr>
        <w:t>مجوز</w:t>
      </w:r>
      <w:r w:rsidRPr="004C3A62">
        <w:rPr>
          <w:rFonts w:ascii="Times New Roman" w:eastAsia="Times New Roman" w:hAnsi="Times New Roman" w:cs="B Nazanin"/>
          <w:b/>
          <w:bCs/>
          <w:sz w:val="24"/>
          <w:szCs w:val="24"/>
        </w:rPr>
        <w:t xml:space="preserve">: </w:t>
      </w:r>
    </w:p>
    <w:p w:rsidR="004C3A62" w:rsidRPr="004C3A62" w:rsidRDefault="004C3A62" w:rsidP="004870A8">
      <w:pPr>
        <w:numPr>
          <w:ilvl w:val="1"/>
          <w:numId w:val="4"/>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ماده </w:t>
      </w:r>
      <w:r w:rsidR="004870A8">
        <w:rPr>
          <w:rFonts w:ascii="Times New Roman" w:eastAsia="Times New Roman" w:hAnsi="Times New Roman" w:cs="B Nazanin" w:hint="cs"/>
          <w:b/>
          <w:bCs/>
          <w:sz w:val="24"/>
          <w:szCs w:val="24"/>
          <w:rtl/>
        </w:rPr>
        <w:t>35</w:t>
      </w:r>
      <w:r w:rsidRPr="004C3A62">
        <w:rPr>
          <w:rFonts w:ascii="Times New Roman" w:eastAsia="Times New Roman" w:hAnsi="Times New Roman" w:cs="B Nazanin"/>
          <w:b/>
          <w:bCs/>
          <w:sz w:val="24"/>
          <w:szCs w:val="24"/>
        </w:rPr>
        <w:t xml:space="preserve">: </w:t>
      </w:r>
    </w:p>
    <w:p w:rsid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tl/>
        </w:rPr>
      </w:pPr>
      <w:r w:rsidRPr="004C3A62">
        <w:rPr>
          <w:rFonts w:ascii="Times New Roman" w:eastAsia="Times New Roman" w:hAnsi="Times New Roman" w:cs="B Nazanin"/>
          <w:sz w:val="24"/>
          <w:szCs w:val="24"/>
          <w:rtl/>
        </w:rPr>
        <w:t xml:space="preserve">صدور مجوز انتشار اوراق بيمه اتكايي، منوط به ارائه مدارك </w:t>
      </w:r>
      <w:proofErr w:type="gramStart"/>
      <w:r w:rsidRPr="004C3A62">
        <w:rPr>
          <w:rFonts w:ascii="Times New Roman" w:eastAsia="Times New Roman" w:hAnsi="Times New Roman" w:cs="B Nazanin"/>
          <w:sz w:val="24"/>
          <w:szCs w:val="24"/>
          <w:rtl/>
        </w:rPr>
        <w:t>و مستندات</w:t>
      </w:r>
      <w:proofErr w:type="gramEnd"/>
      <w:r w:rsidRPr="004C3A62">
        <w:rPr>
          <w:rFonts w:ascii="Times New Roman" w:eastAsia="Times New Roman" w:hAnsi="Times New Roman" w:cs="B Nazanin"/>
          <w:sz w:val="24"/>
          <w:szCs w:val="24"/>
          <w:rtl/>
        </w:rPr>
        <w:t xml:space="preserve"> زير به سازمان است</w:t>
      </w:r>
      <w:r w:rsidRPr="004C3A62">
        <w:rPr>
          <w:rFonts w:ascii="Times New Roman" w:eastAsia="Times New Roman" w:hAnsi="Times New Roman" w:cs="B Nazanin"/>
          <w:sz w:val="24"/>
          <w:szCs w:val="24"/>
        </w:rPr>
        <w:t xml:space="preserve">: </w:t>
      </w:r>
    </w:p>
    <w:p w:rsidR="004C3A62" w:rsidRPr="004C3A62" w:rsidRDefault="004870A8" w:rsidP="004870A8">
      <w:pPr>
        <w:numPr>
          <w:ilvl w:val="2"/>
          <w:numId w:val="4"/>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bookmarkStart w:id="0" w:name="_GoBack"/>
      <w:bookmarkEnd w:id="0"/>
      <w:r>
        <w:rPr>
          <w:rFonts w:ascii="Times New Roman" w:eastAsia="Times New Roman" w:hAnsi="Times New Roman" w:cs="B Nazanin"/>
          <w:b/>
          <w:bCs/>
          <w:sz w:val="24"/>
          <w:szCs w:val="24"/>
          <w:rtl/>
        </w:rPr>
        <w:t xml:space="preserve">بند </w:t>
      </w:r>
      <w:r>
        <w:rPr>
          <w:rFonts w:ascii="Times New Roman" w:eastAsia="Times New Roman" w:hAnsi="Times New Roman" w:cs="B Nazanin" w:hint="cs"/>
          <w:b/>
          <w:bCs/>
          <w:sz w:val="24"/>
          <w:szCs w:val="24"/>
          <w:rtl/>
        </w:rPr>
        <w:t>1</w:t>
      </w:r>
      <w:r w:rsidR="004C3A62" w:rsidRPr="004C3A62">
        <w:rPr>
          <w:rFonts w:ascii="Times New Roman" w:eastAsia="Times New Roman" w:hAnsi="Times New Roman" w:cs="B Nazanin"/>
          <w:b/>
          <w:bCs/>
          <w:sz w:val="24"/>
          <w:szCs w:val="24"/>
        </w:rPr>
        <w:t xml:space="preserve">: </w:t>
      </w:r>
    </w:p>
    <w:p w:rsidR="004870A8"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tl/>
        </w:rPr>
      </w:pPr>
      <w:r w:rsidRPr="004C3A62">
        <w:rPr>
          <w:rFonts w:ascii="Times New Roman" w:eastAsia="Times New Roman" w:hAnsi="Times New Roman" w:cs="B Nazanin"/>
          <w:sz w:val="24"/>
          <w:szCs w:val="24"/>
          <w:rtl/>
        </w:rPr>
        <w:t xml:space="preserve">بيانيه ثبت اوراق حاوي گزارشات </w:t>
      </w:r>
      <w:proofErr w:type="gramStart"/>
      <w:r w:rsidRPr="004C3A62">
        <w:rPr>
          <w:rFonts w:ascii="Times New Roman" w:eastAsia="Times New Roman" w:hAnsi="Times New Roman" w:cs="B Nazanin"/>
          <w:sz w:val="24"/>
          <w:szCs w:val="24"/>
          <w:rtl/>
        </w:rPr>
        <w:t>و اطلاعات</w:t>
      </w:r>
      <w:proofErr w:type="gramEnd"/>
      <w:r w:rsidRPr="004C3A62">
        <w:rPr>
          <w:rFonts w:ascii="Times New Roman" w:eastAsia="Times New Roman" w:hAnsi="Times New Roman" w:cs="B Nazanin"/>
          <w:sz w:val="24"/>
          <w:szCs w:val="24"/>
          <w:rtl/>
        </w:rPr>
        <w:t xml:space="preserve"> موضوع ماده 6 دستورالعمل ثبت و عرضه عمومي اوراق بهادار، مصوب 1385/10/01 شوراي عالي بورس، و حسب مورد شامل موارد زير</w:t>
      </w:r>
      <w:r w:rsidRPr="004C3A62">
        <w:rPr>
          <w:rFonts w:ascii="Times New Roman" w:eastAsia="Times New Roman" w:hAnsi="Times New Roman" w:cs="B Nazanin"/>
          <w:sz w:val="24"/>
          <w:szCs w:val="24"/>
        </w:rPr>
        <w:t>:</w:t>
      </w:r>
    </w:p>
    <w:p w:rsidR="004870A8" w:rsidRDefault="004C3A62" w:rsidP="004870A8">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tl/>
        </w:rPr>
      </w:pPr>
      <w:r w:rsidRPr="004C3A62">
        <w:rPr>
          <w:rFonts w:ascii="Times New Roman" w:eastAsia="Times New Roman" w:hAnsi="Times New Roman" w:cs="B Nazanin"/>
          <w:sz w:val="24"/>
          <w:szCs w:val="24"/>
        </w:rPr>
        <w:br/>
      </w:r>
      <w:r w:rsidR="004870A8">
        <w:rPr>
          <w:rFonts w:ascii="Times New Roman" w:eastAsia="Times New Roman" w:hAnsi="Times New Roman" w:cs="B Nazanin" w:hint="cs"/>
          <w:sz w:val="24"/>
          <w:szCs w:val="24"/>
          <w:rtl/>
        </w:rPr>
        <w:t xml:space="preserve">- </w:t>
      </w:r>
      <w:r w:rsidRPr="004C3A62">
        <w:rPr>
          <w:rFonts w:ascii="Times New Roman" w:eastAsia="Times New Roman" w:hAnsi="Times New Roman" w:cs="B Nazanin"/>
          <w:sz w:val="24"/>
          <w:szCs w:val="24"/>
          <w:rtl/>
        </w:rPr>
        <w:t>مشخصات باني، شامل</w:t>
      </w:r>
      <w:r w:rsidRPr="004C3A62">
        <w:rPr>
          <w:rFonts w:ascii="Times New Roman" w:eastAsia="Times New Roman" w:hAnsi="Times New Roman" w:cs="B Nazanin"/>
          <w:sz w:val="24"/>
          <w:szCs w:val="24"/>
        </w:rPr>
        <w:t>:</w:t>
      </w:r>
    </w:p>
    <w:p w:rsidR="004870A8" w:rsidRDefault="004C3A62" w:rsidP="004870A8">
      <w:pPr>
        <w:pStyle w:val="ListParagraph"/>
        <w:numPr>
          <w:ilvl w:val="0"/>
          <w:numId w:val="5"/>
        </w:numPr>
        <w:tabs>
          <w:tab w:val="num" w:pos="0"/>
        </w:tabs>
        <w:spacing w:before="100" w:beforeAutospacing="1" w:after="100" w:afterAutospacing="1"/>
        <w:jc w:val="lowKashida"/>
        <w:rPr>
          <w:rFonts w:ascii="Times New Roman" w:eastAsia="Times New Roman" w:hAnsi="Times New Roman" w:cs="B Nazanin"/>
          <w:sz w:val="24"/>
          <w:szCs w:val="24"/>
        </w:rPr>
      </w:pPr>
      <w:r w:rsidRPr="004870A8">
        <w:rPr>
          <w:rFonts w:ascii="Times New Roman" w:eastAsia="Times New Roman" w:hAnsi="Times New Roman" w:cs="B Nazanin"/>
          <w:sz w:val="24"/>
          <w:szCs w:val="24"/>
          <w:rtl/>
        </w:rPr>
        <w:t>نام و نوع شخصيت حقوقي</w:t>
      </w:r>
    </w:p>
    <w:p w:rsidR="004870A8" w:rsidRDefault="004C3A62" w:rsidP="004870A8">
      <w:pPr>
        <w:pStyle w:val="ListParagraph"/>
        <w:numPr>
          <w:ilvl w:val="0"/>
          <w:numId w:val="5"/>
        </w:numPr>
        <w:tabs>
          <w:tab w:val="num" w:pos="0"/>
        </w:tabs>
        <w:spacing w:before="100" w:beforeAutospacing="1" w:after="100" w:afterAutospacing="1"/>
        <w:jc w:val="lowKashida"/>
        <w:rPr>
          <w:rFonts w:ascii="Times New Roman" w:eastAsia="Times New Roman" w:hAnsi="Times New Roman" w:cs="B Nazanin"/>
          <w:sz w:val="24"/>
          <w:szCs w:val="24"/>
        </w:rPr>
      </w:pPr>
      <w:r w:rsidRPr="004870A8">
        <w:rPr>
          <w:rFonts w:ascii="Times New Roman" w:eastAsia="Times New Roman" w:hAnsi="Times New Roman" w:cs="B Nazanin"/>
          <w:sz w:val="24"/>
          <w:szCs w:val="24"/>
          <w:rtl/>
        </w:rPr>
        <w:t xml:space="preserve">شناسه ملي </w:t>
      </w:r>
    </w:p>
    <w:p w:rsidR="004870A8" w:rsidRDefault="004C3A62" w:rsidP="004870A8">
      <w:pPr>
        <w:pStyle w:val="ListParagraph"/>
        <w:numPr>
          <w:ilvl w:val="0"/>
          <w:numId w:val="5"/>
        </w:numPr>
        <w:tabs>
          <w:tab w:val="num" w:pos="0"/>
        </w:tabs>
        <w:spacing w:before="100" w:beforeAutospacing="1" w:after="100" w:afterAutospacing="1"/>
        <w:jc w:val="lowKashida"/>
        <w:rPr>
          <w:rFonts w:ascii="Times New Roman" w:eastAsia="Times New Roman" w:hAnsi="Times New Roman" w:cs="B Nazanin"/>
          <w:sz w:val="24"/>
          <w:szCs w:val="24"/>
        </w:rPr>
      </w:pPr>
      <w:r w:rsidRPr="004870A8">
        <w:rPr>
          <w:rFonts w:ascii="Times New Roman" w:eastAsia="Times New Roman" w:hAnsi="Times New Roman" w:cs="B Nazanin"/>
          <w:sz w:val="24"/>
          <w:szCs w:val="24"/>
          <w:rtl/>
        </w:rPr>
        <w:t>شماره ثبت نزد مرجع ثبت شركت‌ها در خصوص مؤسسات بيمه غير دولتي</w:t>
      </w:r>
    </w:p>
    <w:p w:rsidR="004870A8" w:rsidRDefault="004C3A62" w:rsidP="004870A8">
      <w:pPr>
        <w:pStyle w:val="ListParagraph"/>
        <w:numPr>
          <w:ilvl w:val="0"/>
          <w:numId w:val="5"/>
        </w:numPr>
        <w:tabs>
          <w:tab w:val="num" w:pos="0"/>
        </w:tabs>
        <w:spacing w:before="100" w:beforeAutospacing="1" w:after="100" w:afterAutospacing="1"/>
        <w:jc w:val="lowKashida"/>
        <w:rPr>
          <w:rFonts w:ascii="Times New Roman" w:eastAsia="Times New Roman" w:hAnsi="Times New Roman" w:cs="B Nazanin"/>
          <w:sz w:val="24"/>
          <w:szCs w:val="24"/>
        </w:rPr>
      </w:pPr>
      <w:r w:rsidRPr="004870A8">
        <w:rPr>
          <w:rFonts w:ascii="Times New Roman" w:eastAsia="Times New Roman" w:hAnsi="Times New Roman" w:cs="B Nazanin"/>
          <w:sz w:val="24"/>
          <w:szCs w:val="24"/>
          <w:rtl/>
        </w:rPr>
        <w:t>مدت شركت</w:t>
      </w:r>
    </w:p>
    <w:p w:rsidR="004870A8" w:rsidRDefault="004C3A62" w:rsidP="004870A8">
      <w:pPr>
        <w:pStyle w:val="ListParagraph"/>
        <w:numPr>
          <w:ilvl w:val="0"/>
          <w:numId w:val="5"/>
        </w:numPr>
        <w:tabs>
          <w:tab w:val="num" w:pos="0"/>
        </w:tabs>
        <w:spacing w:before="100" w:beforeAutospacing="1" w:after="100" w:afterAutospacing="1"/>
        <w:jc w:val="lowKashida"/>
        <w:rPr>
          <w:rFonts w:ascii="Times New Roman" w:eastAsia="Times New Roman" w:hAnsi="Times New Roman" w:cs="B Nazanin"/>
          <w:sz w:val="24"/>
          <w:szCs w:val="24"/>
        </w:rPr>
      </w:pPr>
      <w:r w:rsidRPr="004870A8">
        <w:rPr>
          <w:rFonts w:ascii="Times New Roman" w:eastAsia="Times New Roman" w:hAnsi="Times New Roman" w:cs="B Nazanin"/>
          <w:sz w:val="24"/>
          <w:szCs w:val="24"/>
          <w:rtl/>
        </w:rPr>
        <w:t>تركيب سهامداران</w:t>
      </w:r>
    </w:p>
    <w:p w:rsidR="004870A8" w:rsidRDefault="004C3A62" w:rsidP="004870A8">
      <w:pPr>
        <w:pStyle w:val="ListParagraph"/>
        <w:numPr>
          <w:ilvl w:val="0"/>
          <w:numId w:val="5"/>
        </w:numPr>
        <w:tabs>
          <w:tab w:val="num" w:pos="0"/>
        </w:tabs>
        <w:spacing w:before="100" w:beforeAutospacing="1" w:after="100" w:afterAutospacing="1"/>
        <w:jc w:val="lowKashida"/>
        <w:rPr>
          <w:rFonts w:ascii="Times New Roman" w:eastAsia="Times New Roman" w:hAnsi="Times New Roman" w:cs="B Nazanin"/>
          <w:sz w:val="24"/>
          <w:szCs w:val="24"/>
        </w:rPr>
      </w:pPr>
      <w:r w:rsidRPr="004870A8">
        <w:rPr>
          <w:rFonts w:ascii="Times New Roman" w:eastAsia="Times New Roman" w:hAnsi="Times New Roman" w:cs="B Nazanin"/>
          <w:sz w:val="24"/>
          <w:szCs w:val="24"/>
          <w:rtl/>
        </w:rPr>
        <w:t xml:space="preserve">مشخصات اعضاء هيئت مديره </w:t>
      </w:r>
    </w:p>
    <w:p w:rsidR="004870A8" w:rsidRPr="004870A8" w:rsidRDefault="004C3A62" w:rsidP="004870A8">
      <w:pPr>
        <w:pStyle w:val="ListParagraph"/>
        <w:numPr>
          <w:ilvl w:val="0"/>
          <w:numId w:val="5"/>
        </w:numPr>
        <w:tabs>
          <w:tab w:val="num" w:pos="0"/>
        </w:tabs>
        <w:spacing w:before="100" w:beforeAutospacing="1" w:after="100" w:afterAutospacing="1"/>
        <w:jc w:val="lowKashida"/>
        <w:rPr>
          <w:rFonts w:ascii="Times New Roman" w:eastAsia="Times New Roman" w:hAnsi="Times New Roman" w:cs="B Nazanin"/>
          <w:sz w:val="24"/>
          <w:szCs w:val="24"/>
          <w:rtl/>
        </w:rPr>
      </w:pPr>
      <w:r w:rsidRPr="004870A8">
        <w:rPr>
          <w:rFonts w:ascii="Times New Roman" w:eastAsia="Times New Roman" w:hAnsi="Times New Roman" w:cs="B Nazanin"/>
          <w:sz w:val="24"/>
          <w:szCs w:val="24"/>
          <w:rtl/>
        </w:rPr>
        <w:t>موضوع فعاليت و مجوزهاي اخذ شده از مراجع ذيصلاح</w:t>
      </w:r>
    </w:p>
    <w:p w:rsidR="004870A8" w:rsidRDefault="004870A8" w:rsidP="004870A8">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 </w:t>
      </w:r>
      <w:r w:rsidR="004C3A62" w:rsidRPr="004C3A62">
        <w:rPr>
          <w:rFonts w:ascii="Times New Roman" w:eastAsia="Times New Roman" w:hAnsi="Times New Roman" w:cs="B Nazanin"/>
          <w:sz w:val="24"/>
          <w:szCs w:val="24"/>
          <w:rtl/>
        </w:rPr>
        <w:t xml:space="preserve">مشخصات اوراق بيمه اتكايي </w:t>
      </w:r>
      <w:proofErr w:type="gramStart"/>
      <w:r w:rsidR="004C3A62" w:rsidRPr="004C3A62">
        <w:rPr>
          <w:rFonts w:ascii="Times New Roman" w:eastAsia="Times New Roman" w:hAnsi="Times New Roman" w:cs="B Nazanin"/>
          <w:sz w:val="24"/>
          <w:szCs w:val="24"/>
          <w:rtl/>
        </w:rPr>
        <w:t>و اركان</w:t>
      </w:r>
      <w:proofErr w:type="gramEnd"/>
      <w:r w:rsidR="004C3A62" w:rsidRPr="004C3A62">
        <w:rPr>
          <w:rFonts w:ascii="Times New Roman" w:eastAsia="Times New Roman" w:hAnsi="Times New Roman" w:cs="B Nazanin"/>
          <w:sz w:val="24"/>
          <w:szCs w:val="24"/>
          <w:rtl/>
        </w:rPr>
        <w:t xml:space="preserve"> انتشار آن؛ </w:t>
      </w:r>
    </w:p>
    <w:p w:rsidR="004870A8" w:rsidRDefault="004870A8" w:rsidP="004870A8">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 </w:t>
      </w:r>
      <w:r w:rsidR="004C3A62" w:rsidRPr="004C3A62">
        <w:rPr>
          <w:rFonts w:ascii="Times New Roman" w:eastAsia="Times New Roman" w:hAnsi="Times New Roman" w:cs="B Nazanin"/>
          <w:sz w:val="24"/>
          <w:szCs w:val="24"/>
          <w:rtl/>
        </w:rPr>
        <w:t>تركيب پرتفوي ريسك هاي بيمه اي موضوع انتشار اوراق؛</w:t>
      </w:r>
    </w:p>
    <w:p w:rsidR="004870A8" w:rsidRDefault="004870A8" w:rsidP="004870A8">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 </w:t>
      </w:r>
      <w:r w:rsidR="004C3A62" w:rsidRPr="004C3A62">
        <w:rPr>
          <w:rFonts w:ascii="Times New Roman" w:eastAsia="Times New Roman" w:hAnsi="Times New Roman" w:cs="B Nazanin"/>
          <w:sz w:val="24"/>
          <w:szCs w:val="24"/>
          <w:rtl/>
        </w:rPr>
        <w:t xml:space="preserve">رويه </w:t>
      </w:r>
      <w:proofErr w:type="gramStart"/>
      <w:r w:rsidR="004C3A62" w:rsidRPr="004C3A62">
        <w:rPr>
          <w:rFonts w:ascii="Times New Roman" w:eastAsia="Times New Roman" w:hAnsi="Times New Roman" w:cs="B Nazanin"/>
          <w:sz w:val="24"/>
          <w:szCs w:val="24"/>
          <w:rtl/>
        </w:rPr>
        <w:t>و زمان</w:t>
      </w:r>
      <w:proofErr w:type="gramEnd"/>
      <w:r w:rsidR="004C3A62" w:rsidRPr="004C3A62">
        <w:rPr>
          <w:rFonts w:ascii="Times New Roman" w:eastAsia="Times New Roman" w:hAnsi="Times New Roman" w:cs="B Nazanin"/>
          <w:sz w:val="24"/>
          <w:szCs w:val="24"/>
          <w:rtl/>
        </w:rPr>
        <w:t xml:space="preserve"> رجوع به منابع جمع آوري شده جهت پرداخت خسارت؛</w:t>
      </w:r>
    </w:p>
    <w:p w:rsidR="004870A8" w:rsidRDefault="004870A8" w:rsidP="004870A8">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 </w:t>
      </w:r>
      <w:r w:rsidR="004C3A62" w:rsidRPr="004C3A62">
        <w:rPr>
          <w:rFonts w:ascii="Times New Roman" w:eastAsia="Times New Roman" w:hAnsi="Times New Roman" w:cs="B Nazanin"/>
          <w:sz w:val="24"/>
          <w:szCs w:val="24"/>
          <w:rtl/>
        </w:rPr>
        <w:t>نحوه پرداخت به دارندگان اوراق بيمه‌ اتكايي؛</w:t>
      </w:r>
    </w:p>
    <w:p w:rsidR="004870A8" w:rsidRDefault="004870A8" w:rsidP="004870A8">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 </w:t>
      </w:r>
      <w:r w:rsidR="004C3A62" w:rsidRPr="004C3A62">
        <w:rPr>
          <w:rFonts w:ascii="Times New Roman" w:eastAsia="Times New Roman" w:hAnsi="Times New Roman" w:cs="B Nazanin"/>
          <w:sz w:val="24"/>
          <w:szCs w:val="24"/>
          <w:rtl/>
        </w:rPr>
        <w:t xml:space="preserve">پيش بيني جريان نقدي </w:t>
      </w:r>
      <w:proofErr w:type="gramStart"/>
      <w:r w:rsidR="004C3A62" w:rsidRPr="004C3A62">
        <w:rPr>
          <w:rFonts w:ascii="Times New Roman" w:eastAsia="Times New Roman" w:hAnsi="Times New Roman" w:cs="B Nazanin"/>
          <w:sz w:val="24"/>
          <w:szCs w:val="24"/>
          <w:rtl/>
        </w:rPr>
        <w:t>و سودآوري</w:t>
      </w:r>
      <w:proofErr w:type="gramEnd"/>
      <w:r w:rsidR="004C3A62" w:rsidRPr="004C3A62">
        <w:rPr>
          <w:rFonts w:ascii="Times New Roman" w:eastAsia="Times New Roman" w:hAnsi="Times New Roman" w:cs="B Nazanin"/>
          <w:sz w:val="24"/>
          <w:szCs w:val="24"/>
          <w:rtl/>
        </w:rPr>
        <w:t xml:space="preserve"> حاصل از سرمايه گذاري وجوه؛ </w:t>
      </w:r>
    </w:p>
    <w:p w:rsidR="004870A8" w:rsidRDefault="004870A8" w:rsidP="004870A8">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 </w:t>
      </w:r>
      <w:r w:rsidR="004C3A62" w:rsidRPr="004C3A62">
        <w:rPr>
          <w:rFonts w:ascii="Times New Roman" w:eastAsia="Times New Roman" w:hAnsi="Times New Roman" w:cs="B Nazanin"/>
          <w:sz w:val="24"/>
          <w:szCs w:val="24"/>
          <w:rtl/>
        </w:rPr>
        <w:t>رتبه اعتباري اوراق در صورت وجود؛</w:t>
      </w:r>
    </w:p>
    <w:p w:rsidR="004C3A62" w:rsidRDefault="004870A8" w:rsidP="004870A8">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tl/>
        </w:rPr>
      </w:pPr>
      <w:r>
        <w:rPr>
          <w:rFonts w:ascii="Times New Roman" w:eastAsia="Times New Roman" w:hAnsi="Times New Roman" w:cs="B Nazanin" w:hint="cs"/>
          <w:sz w:val="24"/>
          <w:szCs w:val="24"/>
          <w:rtl/>
        </w:rPr>
        <w:t xml:space="preserve">- </w:t>
      </w:r>
      <w:r w:rsidR="004C3A62" w:rsidRPr="004C3A62">
        <w:rPr>
          <w:rFonts w:ascii="Times New Roman" w:eastAsia="Times New Roman" w:hAnsi="Times New Roman" w:cs="B Nazanin"/>
          <w:sz w:val="24"/>
          <w:szCs w:val="24"/>
          <w:rtl/>
        </w:rPr>
        <w:t xml:space="preserve">ساير مدارك </w:t>
      </w:r>
      <w:proofErr w:type="gramStart"/>
      <w:r w:rsidR="004C3A62" w:rsidRPr="004C3A62">
        <w:rPr>
          <w:rFonts w:ascii="Times New Roman" w:eastAsia="Times New Roman" w:hAnsi="Times New Roman" w:cs="B Nazanin"/>
          <w:sz w:val="24"/>
          <w:szCs w:val="24"/>
          <w:rtl/>
        </w:rPr>
        <w:t>و اطلاعات</w:t>
      </w:r>
      <w:proofErr w:type="gramEnd"/>
      <w:r w:rsidR="004C3A62" w:rsidRPr="004C3A62">
        <w:rPr>
          <w:rFonts w:ascii="Times New Roman" w:eastAsia="Times New Roman" w:hAnsi="Times New Roman" w:cs="B Nazanin"/>
          <w:sz w:val="24"/>
          <w:szCs w:val="24"/>
          <w:rtl/>
        </w:rPr>
        <w:t xml:space="preserve"> مهم به تشخيص بيمه مركزي و سازمان بورس و اوراق بهادار</w:t>
      </w:r>
      <w:r w:rsidR="004C3A62" w:rsidRPr="004C3A62">
        <w:rPr>
          <w:rFonts w:ascii="Times New Roman" w:eastAsia="Times New Roman" w:hAnsi="Times New Roman" w:cs="B Nazanin"/>
          <w:sz w:val="24"/>
          <w:szCs w:val="24"/>
        </w:rPr>
        <w:t>.</w:t>
      </w:r>
    </w:p>
    <w:p w:rsidR="004C3A62" w:rsidRPr="004C3A62" w:rsidRDefault="004C3A62" w:rsidP="004870A8">
      <w:pPr>
        <w:numPr>
          <w:ilvl w:val="2"/>
          <w:numId w:val="4"/>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بند </w:t>
      </w:r>
      <w:r w:rsidR="004870A8">
        <w:rPr>
          <w:rFonts w:ascii="Times New Roman" w:eastAsia="Times New Roman" w:hAnsi="Times New Roman" w:cs="B Nazanin" w:hint="cs"/>
          <w:b/>
          <w:bCs/>
          <w:sz w:val="24"/>
          <w:szCs w:val="24"/>
          <w:rtl/>
        </w:rPr>
        <w:t>2</w:t>
      </w:r>
      <w:r w:rsidRPr="004C3A62">
        <w:rPr>
          <w:rFonts w:ascii="Times New Roman" w:eastAsia="Times New Roman" w:hAnsi="Times New Roman" w:cs="B Nazanin"/>
          <w:b/>
          <w:bCs/>
          <w:sz w:val="24"/>
          <w:szCs w:val="24"/>
        </w:rPr>
        <w:t xml:space="preserve">: </w:t>
      </w:r>
    </w:p>
    <w:p w:rsidR="004C3A62" w:rsidRPr="004C3A62"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 xml:space="preserve">مصوبه ركن ذي‌صلاح باني براي انعقاد قرارداد بيمه با نهاد واسط به وكالت از دارندگان اوراق با ذكر شرايط پرتفوي بيمه نامه هاي مبناي انتشار اوراق </w:t>
      </w:r>
      <w:proofErr w:type="gramStart"/>
      <w:r w:rsidRPr="004C3A62">
        <w:rPr>
          <w:rFonts w:ascii="Times New Roman" w:eastAsia="Times New Roman" w:hAnsi="Times New Roman" w:cs="B Nazanin"/>
          <w:sz w:val="24"/>
          <w:szCs w:val="24"/>
          <w:rtl/>
        </w:rPr>
        <w:t>و شرايط</w:t>
      </w:r>
      <w:proofErr w:type="gramEnd"/>
      <w:r w:rsidRPr="004C3A62">
        <w:rPr>
          <w:rFonts w:ascii="Times New Roman" w:eastAsia="Times New Roman" w:hAnsi="Times New Roman" w:cs="B Nazanin"/>
          <w:sz w:val="24"/>
          <w:szCs w:val="24"/>
          <w:rtl/>
        </w:rPr>
        <w:t xml:space="preserve"> و مشخصات اوراق؛ </w:t>
      </w:r>
    </w:p>
    <w:p w:rsidR="004870A8" w:rsidRPr="004870A8" w:rsidRDefault="004C3A62" w:rsidP="004870A8">
      <w:pPr>
        <w:numPr>
          <w:ilvl w:val="2"/>
          <w:numId w:val="4"/>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lastRenderedPageBreak/>
        <w:t xml:space="preserve">بند </w:t>
      </w:r>
      <w:r w:rsidR="004870A8">
        <w:rPr>
          <w:rFonts w:ascii="Times New Roman" w:eastAsia="Times New Roman" w:hAnsi="Times New Roman" w:cs="B Nazanin" w:hint="cs"/>
          <w:b/>
          <w:bCs/>
          <w:sz w:val="24"/>
          <w:szCs w:val="24"/>
          <w:rtl/>
        </w:rPr>
        <w:t>3</w:t>
      </w:r>
      <w:r w:rsidRPr="004C3A62">
        <w:rPr>
          <w:rFonts w:ascii="Times New Roman" w:eastAsia="Times New Roman" w:hAnsi="Times New Roman" w:cs="B Nazanin"/>
          <w:b/>
          <w:bCs/>
          <w:sz w:val="24"/>
          <w:szCs w:val="24"/>
        </w:rPr>
        <w:t xml:space="preserve">: </w:t>
      </w:r>
    </w:p>
    <w:p w:rsidR="004C3A62" w:rsidRPr="004C3A62" w:rsidRDefault="004C3A62" w:rsidP="004870A8">
      <w:pPr>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 xml:space="preserve">اساسنامه باني در صورتي كه نزد سازمان بورس </w:t>
      </w:r>
      <w:proofErr w:type="gramStart"/>
      <w:r w:rsidRPr="004C3A62">
        <w:rPr>
          <w:rFonts w:ascii="Times New Roman" w:eastAsia="Times New Roman" w:hAnsi="Times New Roman" w:cs="B Nazanin"/>
          <w:sz w:val="24"/>
          <w:szCs w:val="24"/>
          <w:rtl/>
        </w:rPr>
        <w:t>و اوراق</w:t>
      </w:r>
      <w:proofErr w:type="gramEnd"/>
      <w:r w:rsidRPr="004C3A62">
        <w:rPr>
          <w:rFonts w:ascii="Times New Roman" w:eastAsia="Times New Roman" w:hAnsi="Times New Roman" w:cs="B Nazanin"/>
          <w:sz w:val="24"/>
          <w:szCs w:val="24"/>
          <w:rtl/>
        </w:rPr>
        <w:t xml:space="preserve"> بهادار به ثبت نرسيده باشد؛</w:t>
      </w:r>
    </w:p>
    <w:p w:rsidR="004870A8" w:rsidRPr="004870A8" w:rsidRDefault="004C3A62" w:rsidP="004870A8">
      <w:pPr>
        <w:numPr>
          <w:ilvl w:val="2"/>
          <w:numId w:val="4"/>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بند </w:t>
      </w:r>
      <w:r w:rsidR="004870A8">
        <w:rPr>
          <w:rFonts w:ascii="Times New Roman" w:eastAsia="Times New Roman" w:hAnsi="Times New Roman" w:cs="B Nazanin" w:hint="cs"/>
          <w:b/>
          <w:bCs/>
          <w:sz w:val="24"/>
          <w:szCs w:val="24"/>
          <w:rtl/>
        </w:rPr>
        <w:t>4</w:t>
      </w:r>
      <w:r w:rsidRPr="004C3A62">
        <w:rPr>
          <w:rFonts w:ascii="Times New Roman" w:eastAsia="Times New Roman" w:hAnsi="Times New Roman" w:cs="B Nazanin"/>
          <w:b/>
          <w:bCs/>
          <w:sz w:val="24"/>
          <w:szCs w:val="24"/>
        </w:rPr>
        <w:t xml:space="preserve">: </w:t>
      </w:r>
    </w:p>
    <w:p w:rsidR="004C3A62" w:rsidRPr="004C3A62" w:rsidRDefault="004C3A62" w:rsidP="004870A8">
      <w:pPr>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صورت‌هاي مالي حسابرسي شدۀ دو سال مالي اخير باني؛</w:t>
      </w:r>
    </w:p>
    <w:p w:rsidR="004870A8" w:rsidRPr="004870A8" w:rsidRDefault="004C3A62" w:rsidP="004870A8">
      <w:pPr>
        <w:numPr>
          <w:ilvl w:val="2"/>
          <w:numId w:val="4"/>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بند </w:t>
      </w:r>
      <w:r w:rsidR="004870A8">
        <w:rPr>
          <w:rFonts w:ascii="Times New Roman" w:eastAsia="Times New Roman" w:hAnsi="Times New Roman" w:cs="B Nazanin" w:hint="cs"/>
          <w:b/>
          <w:bCs/>
          <w:sz w:val="24"/>
          <w:szCs w:val="24"/>
          <w:rtl/>
        </w:rPr>
        <w:t>5</w:t>
      </w:r>
      <w:r w:rsidRPr="004C3A62">
        <w:rPr>
          <w:rFonts w:ascii="Times New Roman" w:eastAsia="Times New Roman" w:hAnsi="Times New Roman" w:cs="B Nazanin"/>
          <w:b/>
          <w:bCs/>
          <w:sz w:val="24"/>
          <w:szCs w:val="24"/>
        </w:rPr>
        <w:t xml:space="preserve">: </w:t>
      </w:r>
    </w:p>
    <w:p w:rsidR="004C3A62" w:rsidRPr="004C3A62" w:rsidRDefault="004C3A62" w:rsidP="004870A8">
      <w:pPr>
        <w:bidi/>
        <w:spacing w:before="100" w:beforeAutospacing="1" w:after="100" w:afterAutospacing="1" w:line="240" w:lineRule="auto"/>
        <w:ind w:left="-360"/>
        <w:jc w:val="lowKashida"/>
        <w:rPr>
          <w:rFonts w:ascii="Times New Roman" w:eastAsia="Times New Roman" w:hAnsi="Times New Roman" w:cs="B Nazanin"/>
          <w:sz w:val="24"/>
          <w:szCs w:val="24"/>
        </w:rPr>
      </w:pPr>
      <w:r w:rsidRPr="004C3A62">
        <w:rPr>
          <w:rFonts w:ascii="Times New Roman" w:eastAsia="Times New Roman" w:hAnsi="Times New Roman" w:cs="B Nazanin"/>
          <w:sz w:val="24"/>
          <w:szCs w:val="24"/>
          <w:rtl/>
        </w:rPr>
        <w:t>گزارش حسابرس معتمد سازمان در خصوص صورت هاي مالي سال مالي گذشتة باني؛</w:t>
      </w:r>
    </w:p>
    <w:p w:rsidR="004C3A62" w:rsidRPr="004C3A62" w:rsidRDefault="004C3A62" w:rsidP="004870A8">
      <w:pPr>
        <w:numPr>
          <w:ilvl w:val="2"/>
          <w:numId w:val="4"/>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بند </w:t>
      </w:r>
      <w:r w:rsidR="004870A8">
        <w:rPr>
          <w:rFonts w:ascii="Times New Roman" w:eastAsia="Times New Roman" w:hAnsi="Times New Roman" w:cs="B Nazanin" w:hint="cs"/>
          <w:b/>
          <w:bCs/>
          <w:sz w:val="24"/>
          <w:szCs w:val="24"/>
          <w:rtl/>
        </w:rPr>
        <w:t>6</w:t>
      </w:r>
      <w:r w:rsidRPr="004C3A62">
        <w:rPr>
          <w:rFonts w:ascii="Times New Roman" w:eastAsia="Times New Roman" w:hAnsi="Times New Roman" w:cs="B Nazanin"/>
          <w:b/>
          <w:bCs/>
          <w:sz w:val="24"/>
          <w:szCs w:val="24"/>
        </w:rPr>
        <w:t xml:space="preserve">: </w:t>
      </w:r>
    </w:p>
    <w:p w:rsidR="004870A8" w:rsidRDefault="004C3A62" w:rsidP="004C3A62">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tl/>
        </w:rPr>
      </w:pPr>
      <w:r w:rsidRPr="004C3A62">
        <w:rPr>
          <w:rFonts w:ascii="Times New Roman" w:eastAsia="Times New Roman" w:hAnsi="Times New Roman" w:cs="B Nazanin"/>
          <w:sz w:val="24"/>
          <w:szCs w:val="24"/>
          <w:rtl/>
        </w:rPr>
        <w:t>گزارش توجيهي انتشار اوراق بيمه اتكايي به همراه اظهارنظر حسابرس در خصوص آن كه شامل موارد زير است</w:t>
      </w:r>
      <w:r w:rsidRPr="004C3A62">
        <w:rPr>
          <w:rFonts w:ascii="Times New Roman" w:eastAsia="Times New Roman" w:hAnsi="Times New Roman" w:cs="B Nazanin"/>
          <w:sz w:val="24"/>
          <w:szCs w:val="24"/>
        </w:rPr>
        <w:t>:</w:t>
      </w:r>
    </w:p>
    <w:p w:rsidR="004870A8" w:rsidRDefault="004C3A62" w:rsidP="004870A8">
      <w:pPr>
        <w:pStyle w:val="ListParagraph"/>
        <w:numPr>
          <w:ilvl w:val="0"/>
          <w:numId w:val="6"/>
        </w:numPr>
        <w:tabs>
          <w:tab w:val="num" w:pos="0"/>
        </w:tabs>
        <w:spacing w:before="100" w:beforeAutospacing="1" w:after="100" w:afterAutospacing="1"/>
        <w:jc w:val="lowKashida"/>
        <w:rPr>
          <w:rFonts w:ascii="Times New Roman" w:eastAsia="Times New Roman" w:hAnsi="Times New Roman" w:cs="B Nazanin"/>
          <w:sz w:val="24"/>
          <w:szCs w:val="24"/>
        </w:rPr>
      </w:pPr>
      <w:r w:rsidRPr="004870A8">
        <w:rPr>
          <w:rFonts w:ascii="Times New Roman" w:eastAsia="Times New Roman" w:hAnsi="Times New Roman" w:cs="B Nazanin"/>
          <w:sz w:val="24"/>
          <w:szCs w:val="24"/>
          <w:rtl/>
        </w:rPr>
        <w:t>پيش بيني حق بيمه تا پايان دورة قرارداد بيمة اتكايي و منافع ناشي از سرمايه گذاري وجوه در اختيار باني؛</w:t>
      </w:r>
    </w:p>
    <w:p w:rsidR="004870A8" w:rsidRDefault="004C3A62" w:rsidP="004870A8">
      <w:pPr>
        <w:pStyle w:val="ListParagraph"/>
        <w:numPr>
          <w:ilvl w:val="0"/>
          <w:numId w:val="6"/>
        </w:numPr>
        <w:tabs>
          <w:tab w:val="num" w:pos="0"/>
        </w:tabs>
        <w:spacing w:before="100" w:beforeAutospacing="1" w:after="100" w:afterAutospacing="1"/>
        <w:jc w:val="lowKashida"/>
        <w:rPr>
          <w:rFonts w:ascii="Times New Roman" w:eastAsia="Times New Roman" w:hAnsi="Times New Roman" w:cs="B Nazanin"/>
          <w:sz w:val="24"/>
          <w:szCs w:val="24"/>
        </w:rPr>
      </w:pPr>
      <w:r w:rsidRPr="004870A8">
        <w:rPr>
          <w:rFonts w:ascii="Times New Roman" w:eastAsia="Times New Roman" w:hAnsi="Times New Roman" w:cs="B Nazanin"/>
          <w:sz w:val="24"/>
          <w:szCs w:val="24"/>
          <w:rtl/>
        </w:rPr>
        <w:t>كفايت وجوه جهت پرداخت به دارندگان اوراق بيمه اتكايي در سررسيدهاي مقرر؛</w:t>
      </w:r>
    </w:p>
    <w:p w:rsidR="004870A8" w:rsidRDefault="004C3A62" w:rsidP="004870A8">
      <w:pPr>
        <w:pStyle w:val="ListParagraph"/>
        <w:numPr>
          <w:ilvl w:val="0"/>
          <w:numId w:val="6"/>
        </w:numPr>
        <w:tabs>
          <w:tab w:val="num" w:pos="0"/>
        </w:tabs>
        <w:spacing w:before="100" w:beforeAutospacing="1" w:after="100" w:afterAutospacing="1"/>
        <w:jc w:val="lowKashida"/>
        <w:rPr>
          <w:rFonts w:ascii="Times New Roman" w:eastAsia="Times New Roman" w:hAnsi="Times New Roman" w:cs="B Nazanin"/>
          <w:sz w:val="24"/>
          <w:szCs w:val="24"/>
        </w:rPr>
      </w:pPr>
      <w:r w:rsidRPr="004870A8">
        <w:rPr>
          <w:rFonts w:ascii="Times New Roman" w:eastAsia="Times New Roman" w:hAnsi="Times New Roman" w:cs="B Nazanin"/>
          <w:sz w:val="24"/>
          <w:szCs w:val="24"/>
          <w:rtl/>
        </w:rPr>
        <w:t xml:space="preserve">افشاي نوع و شرايط پرتفوي ريسك هاي بيمه اي موضوع انتشار اوراق و ساير شرايط مربوط و با اهميت از نظر سرمايه گذاران شامل سابقه ضريب خسارت در آن رشته و برآورد آن تا پايان دوره عمر اوراق؛ </w:t>
      </w:r>
    </w:p>
    <w:p w:rsidR="004870A8" w:rsidRDefault="004C3A62" w:rsidP="004870A8">
      <w:pPr>
        <w:pStyle w:val="ListParagraph"/>
        <w:numPr>
          <w:ilvl w:val="0"/>
          <w:numId w:val="6"/>
        </w:numPr>
        <w:tabs>
          <w:tab w:val="num" w:pos="0"/>
        </w:tabs>
        <w:spacing w:before="100" w:beforeAutospacing="1" w:after="100" w:afterAutospacing="1"/>
        <w:jc w:val="lowKashida"/>
        <w:rPr>
          <w:rFonts w:ascii="Times New Roman" w:eastAsia="Times New Roman" w:hAnsi="Times New Roman" w:cs="B Nazanin"/>
          <w:sz w:val="24"/>
          <w:szCs w:val="24"/>
        </w:rPr>
      </w:pPr>
      <w:r w:rsidRPr="004870A8">
        <w:rPr>
          <w:rFonts w:ascii="Times New Roman" w:eastAsia="Times New Roman" w:hAnsi="Times New Roman" w:cs="B Nazanin"/>
          <w:sz w:val="24"/>
          <w:szCs w:val="24"/>
          <w:rtl/>
        </w:rPr>
        <w:t>تأييديه مرجع ذيصلاح جهت انتشار اوراق بيمه اتكايي؛</w:t>
      </w:r>
    </w:p>
    <w:p w:rsidR="004870A8" w:rsidRDefault="004C3A62" w:rsidP="004870A8">
      <w:pPr>
        <w:pStyle w:val="ListParagraph"/>
        <w:numPr>
          <w:ilvl w:val="0"/>
          <w:numId w:val="6"/>
        </w:numPr>
        <w:tabs>
          <w:tab w:val="num" w:pos="0"/>
        </w:tabs>
        <w:spacing w:before="100" w:beforeAutospacing="1" w:after="100" w:afterAutospacing="1"/>
        <w:jc w:val="lowKashida"/>
        <w:rPr>
          <w:rFonts w:ascii="Times New Roman" w:eastAsia="Times New Roman" w:hAnsi="Times New Roman" w:cs="B Nazanin"/>
          <w:sz w:val="24"/>
          <w:szCs w:val="24"/>
        </w:rPr>
      </w:pPr>
      <w:r w:rsidRPr="004870A8">
        <w:rPr>
          <w:rFonts w:ascii="Times New Roman" w:eastAsia="Times New Roman" w:hAnsi="Times New Roman" w:cs="B Nazanin"/>
          <w:sz w:val="24"/>
          <w:szCs w:val="24"/>
          <w:rtl/>
        </w:rPr>
        <w:t>ارائه اطلاعات در خصوص كفايت روش‌هاي ‌حسابداري باني براي گزارش دهي در خصوص محاسبات مالي مربوط به اوراق بيمه اتكايي و مناسب و كافي بودن منابع مالي و غيرمالي نظير مهارت و تجربة كاركنان باني براي انجام فعاليت‌هاي مورد نظر (با توجه به ماهيت و مقياس فعاليت، سطح ريسك‌ها، نحوة استقرار كنترل‌هاي داخلي براي مديريت ريسك و پولشويي)؛</w:t>
      </w:r>
    </w:p>
    <w:p w:rsidR="004870A8" w:rsidRDefault="004C3A62" w:rsidP="004870A8">
      <w:pPr>
        <w:pStyle w:val="ListParagraph"/>
        <w:numPr>
          <w:ilvl w:val="0"/>
          <w:numId w:val="6"/>
        </w:numPr>
        <w:tabs>
          <w:tab w:val="num" w:pos="0"/>
        </w:tabs>
        <w:spacing w:before="100" w:beforeAutospacing="1" w:after="100" w:afterAutospacing="1"/>
        <w:jc w:val="lowKashida"/>
        <w:rPr>
          <w:rFonts w:ascii="Times New Roman" w:eastAsia="Times New Roman" w:hAnsi="Times New Roman" w:cs="B Nazanin"/>
          <w:sz w:val="24"/>
          <w:szCs w:val="24"/>
        </w:rPr>
      </w:pPr>
      <w:r w:rsidRPr="004870A8">
        <w:rPr>
          <w:rFonts w:ascii="Times New Roman" w:eastAsia="Times New Roman" w:hAnsi="Times New Roman" w:cs="B Nazanin"/>
          <w:sz w:val="24"/>
          <w:szCs w:val="24"/>
          <w:rtl/>
        </w:rPr>
        <w:t>اظهارنظر حسابرس باني در خصوص رعايت شرايط اين دستورالعمل، ضمانت اوراق، شرايط باني، شرايط پرتفوي ريسك هاي بيمه اي موضوع انتشار اوراق و ساير موارد مهم حسب مورد در قالب بندهاي جداگانه؛</w:t>
      </w:r>
    </w:p>
    <w:p w:rsidR="004C3A62" w:rsidRPr="004870A8" w:rsidRDefault="004C3A62" w:rsidP="004870A8">
      <w:pPr>
        <w:pStyle w:val="ListParagraph"/>
        <w:numPr>
          <w:ilvl w:val="0"/>
          <w:numId w:val="6"/>
        </w:numPr>
        <w:tabs>
          <w:tab w:val="num" w:pos="0"/>
        </w:tabs>
        <w:spacing w:before="100" w:beforeAutospacing="1" w:after="100" w:afterAutospacing="1"/>
        <w:jc w:val="lowKashida"/>
        <w:rPr>
          <w:rFonts w:ascii="Times New Roman" w:eastAsia="Times New Roman" w:hAnsi="Times New Roman" w:cs="B Nazanin"/>
          <w:sz w:val="24"/>
          <w:szCs w:val="24"/>
        </w:rPr>
      </w:pPr>
      <w:r w:rsidRPr="004870A8">
        <w:rPr>
          <w:rFonts w:ascii="Times New Roman" w:eastAsia="Times New Roman" w:hAnsi="Times New Roman" w:cs="B Nazanin"/>
          <w:sz w:val="24"/>
          <w:szCs w:val="24"/>
          <w:rtl/>
        </w:rPr>
        <w:t>ساير اطلاعات مهم به تشخيص سازمان</w:t>
      </w:r>
      <w:r w:rsidRPr="004870A8">
        <w:rPr>
          <w:rFonts w:ascii="Times New Roman" w:eastAsia="Times New Roman" w:hAnsi="Times New Roman" w:cs="B Nazanin"/>
          <w:sz w:val="24"/>
          <w:szCs w:val="24"/>
        </w:rPr>
        <w:t>.</w:t>
      </w:r>
    </w:p>
    <w:p w:rsidR="004C3A62" w:rsidRPr="004C3A62" w:rsidRDefault="004C3A62" w:rsidP="004870A8">
      <w:pPr>
        <w:numPr>
          <w:ilvl w:val="1"/>
          <w:numId w:val="4"/>
        </w:numPr>
        <w:tabs>
          <w:tab w:val="num" w:pos="0"/>
        </w:tabs>
        <w:bidi/>
        <w:spacing w:before="100" w:beforeAutospacing="1" w:after="100" w:afterAutospacing="1" w:line="240" w:lineRule="auto"/>
        <w:ind w:left="-360" w:firstLine="0"/>
        <w:jc w:val="lowKashida"/>
        <w:rPr>
          <w:rFonts w:ascii="Times New Roman" w:eastAsia="Times New Roman" w:hAnsi="Times New Roman" w:cs="B Nazanin"/>
          <w:sz w:val="24"/>
          <w:szCs w:val="24"/>
        </w:rPr>
      </w:pPr>
      <w:r w:rsidRPr="004C3A62">
        <w:rPr>
          <w:rFonts w:ascii="Times New Roman" w:eastAsia="Times New Roman" w:hAnsi="Times New Roman" w:cs="B Nazanin"/>
          <w:b/>
          <w:bCs/>
          <w:sz w:val="24"/>
          <w:szCs w:val="24"/>
          <w:rtl/>
        </w:rPr>
        <w:t xml:space="preserve">ماده </w:t>
      </w:r>
      <w:r w:rsidR="004870A8">
        <w:rPr>
          <w:rFonts w:ascii="Times New Roman" w:eastAsia="Times New Roman" w:hAnsi="Times New Roman" w:cs="B Nazanin" w:hint="cs"/>
          <w:b/>
          <w:bCs/>
          <w:sz w:val="24"/>
          <w:szCs w:val="24"/>
          <w:rtl/>
        </w:rPr>
        <w:t>36</w:t>
      </w:r>
      <w:r w:rsidRPr="004C3A62">
        <w:rPr>
          <w:rFonts w:ascii="Times New Roman" w:eastAsia="Times New Roman" w:hAnsi="Times New Roman" w:cs="B Nazanin"/>
          <w:b/>
          <w:bCs/>
          <w:sz w:val="24"/>
          <w:szCs w:val="24"/>
        </w:rPr>
        <w:t xml:space="preserve">: </w:t>
      </w:r>
    </w:p>
    <w:p w:rsidR="00A82E9B" w:rsidRPr="004870A8" w:rsidRDefault="004C3A62" w:rsidP="004870A8">
      <w:pPr>
        <w:tabs>
          <w:tab w:val="num" w:pos="0"/>
        </w:tabs>
        <w:bidi/>
        <w:spacing w:before="100" w:beforeAutospacing="1" w:after="100" w:afterAutospacing="1" w:line="240" w:lineRule="auto"/>
        <w:ind w:left="-360"/>
        <w:jc w:val="lowKashida"/>
        <w:rPr>
          <w:rFonts w:ascii="Times New Roman" w:eastAsia="Times New Roman" w:hAnsi="Times New Roman" w:cs="B Nazanin"/>
          <w:sz w:val="24"/>
          <w:szCs w:val="24"/>
          <w:rtl/>
        </w:rPr>
      </w:pPr>
      <w:r w:rsidRPr="004C3A62">
        <w:rPr>
          <w:rFonts w:ascii="Times New Roman" w:eastAsia="Times New Roman" w:hAnsi="Times New Roman" w:cs="B Nazanin"/>
          <w:sz w:val="24"/>
          <w:szCs w:val="24"/>
          <w:rtl/>
        </w:rPr>
        <w:t>صدور مجوز انتشار اوراق بيمه اتكايي، منوط به انعقاد قراردادهاي لازم ميان اركان در چارچوب تعيين شده توسط سازمان است</w:t>
      </w:r>
      <w:r w:rsidRPr="004C3A62">
        <w:rPr>
          <w:rFonts w:ascii="Times New Roman" w:eastAsia="Times New Roman" w:hAnsi="Times New Roman" w:cs="B Nazanin"/>
          <w:sz w:val="24"/>
          <w:szCs w:val="24"/>
        </w:rPr>
        <w:t xml:space="preserve">. </w:t>
      </w:r>
    </w:p>
    <w:sectPr w:rsidR="00A82E9B" w:rsidRPr="00487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65CE"/>
    <w:multiLevelType w:val="multilevel"/>
    <w:tmpl w:val="B8EAA1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93212D"/>
    <w:multiLevelType w:val="hybridMultilevel"/>
    <w:tmpl w:val="3BD028F0"/>
    <w:lvl w:ilvl="0" w:tplc="5BB82502">
      <w:numFmt w:val="bullet"/>
      <w:lvlText w:val="-"/>
      <w:lvlJc w:val="left"/>
      <w:pPr>
        <w:ind w:left="0" w:hanging="360"/>
      </w:pPr>
      <w:rPr>
        <w:rFonts w:ascii="Times New Roman" w:eastAsia="Times New Roman" w:hAnsi="Times New Roman" w:cs="B Nazani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0B4395E"/>
    <w:multiLevelType w:val="multilevel"/>
    <w:tmpl w:val="38E03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282E8B"/>
    <w:multiLevelType w:val="multilevel"/>
    <w:tmpl w:val="6A3AC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676C13"/>
    <w:multiLevelType w:val="hybridMultilevel"/>
    <w:tmpl w:val="E8989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3244711"/>
    <w:multiLevelType w:val="multilevel"/>
    <w:tmpl w:val="158CE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A62"/>
    <w:rsid w:val="00246079"/>
    <w:rsid w:val="00434768"/>
    <w:rsid w:val="004870A8"/>
    <w:rsid w:val="004970D6"/>
    <w:rsid w:val="004C3A62"/>
    <w:rsid w:val="006D0A71"/>
    <w:rsid w:val="00994D82"/>
    <w:rsid w:val="009D3F94"/>
    <w:rsid w:val="00B616A8"/>
    <w:rsid w:val="00B87849"/>
    <w:rsid w:val="00B9110F"/>
    <w:rsid w:val="00C63D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F1D6B"/>
  <w15:chartTrackingRefBased/>
  <w15:docId w15:val="{15645A6B-CD36-4512-9795-1F89094B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C3A62"/>
    <w:rPr>
      <w:b/>
      <w:bCs/>
    </w:rPr>
  </w:style>
  <w:style w:type="character" w:customStyle="1" w:styleId="tanghihstatus-1">
    <w:name w:val="tanghihstatus-1"/>
    <w:basedOn w:val="DefaultParagraphFont"/>
    <w:rsid w:val="004C3A62"/>
  </w:style>
  <w:style w:type="character" w:customStyle="1" w:styleId="highlight-text">
    <w:name w:val="highlight-text"/>
    <w:basedOn w:val="DefaultParagraphFont"/>
    <w:rsid w:val="004C3A62"/>
  </w:style>
  <w:style w:type="paragraph" w:styleId="NormalWeb">
    <w:name w:val="Normal (Web)"/>
    <w:basedOn w:val="Normal"/>
    <w:uiPriority w:val="99"/>
    <w:semiHidden/>
    <w:unhideWhenUsed/>
    <w:rsid w:val="004C3A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pnetdisabled">
    <w:name w:val="aspnetdisabled"/>
    <w:basedOn w:val="DefaultParagraphFont"/>
    <w:rsid w:val="004C3A62"/>
  </w:style>
  <w:style w:type="paragraph" w:styleId="ListParagraph">
    <w:name w:val="List Paragraph"/>
    <w:basedOn w:val="Normal"/>
    <w:link w:val="ListParagraphChar"/>
    <w:uiPriority w:val="34"/>
    <w:qFormat/>
    <w:rsid w:val="009D3F94"/>
    <w:pPr>
      <w:bidi/>
      <w:spacing w:after="0" w:line="240" w:lineRule="auto"/>
      <w:ind w:left="720" w:right="340" w:hanging="680"/>
      <w:contextualSpacing/>
      <w:jc w:val="both"/>
    </w:pPr>
    <w:rPr>
      <w:rFonts w:ascii="Calibri" w:eastAsia="Calibri" w:hAnsi="Calibri" w:cs="Times New Roman"/>
      <w:lang w:val="en-GB" w:bidi="fa-IR"/>
    </w:rPr>
  </w:style>
  <w:style w:type="character" w:customStyle="1" w:styleId="ListParagraphChar">
    <w:name w:val="List Paragraph Char"/>
    <w:link w:val="ListParagraph"/>
    <w:uiPriority w:val="34"/>
    <w:locked/>
    <w:rsid w:val="009D3F94"/>
    <w:rPr>
      <w:rFonts w:ascii="Calibri" w:eastAsia="Calibri" w:hAnsi="Calibri" w:cs="Times New Roman"/>
      <w:lang w:val="en-GB" w:bidi="fa-IR"/>
    </w:rPr>
  </w:style>
  <w:style w:type="paragraph" w:styleId="Footer">
    <w:name w:val="footer"/>
    <w:basedOn w:val="Normal"/>
    <w:link w:val="FooterChar"/>
    <w:uiPriority w:val="99"/>
    <w:unhideWhenUsed/>
    <w:rsid w:val="004970D6"/>
    <w:pPr>
      <w:tabs>
        <w:tab w:val="center" w:pos="4680"/>
        <w:tab w:val="right" w:pos="9360"/>
      </w:tabs>
      <w:spacing w:after="200" w:line="276" w:lineRule="auto"/>
    </w:pPr>
    <w:rPr>
      <w:rFonts w:ascii="Calibri" w:eastAsia="Calibri" w:hAnsi="Calibri" w:cs="Times New Roman"/>
      <w:lang w:bidi="fa-IR"/>
    </w:rPr>
  </w:style>
  <w:style w:type="character" w:customStyle="1" w:styleId="FooterChar">
    <w:name w:val="Footer Char"/>
    <w:basedOn w:val="DefaultParagraphFont"/>
    <w:link w:val="Footer"/>
    <w:uiPriority w:val="99"/>
    <w:rsid w:val="004970D6"/>
    <w:rPr>
      <w:rFonts w:ascii="Calibri" w:eastAsia="Calibri" w:hAnsi="Calibri" w:cs="Times New Roman"/>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049711">
      <w:bodyDiv w:val="1"/>
      <w:marLeft w:val="0"/>
      <w:marRight w:val="0"/>
      <w:marTop w:val="0"/>
      <w:marBottom w:val="0"/>
      <w:divBdr>
        <w:top w:val="none" w:sz="0" w:space="0" w:color="auto"/>
        <w:left w:val="none" w:sz="0" w:space="0" w:color="auto"/>
        <w:bottom w:val="none" w:sz="0" w:space="0" w:color="auto"/>
        <w:right w:val="none" w:sz="0" w:space="0" w:color="auto"/>
      </w:divBdr>
      <w:divsChild>
        <w:div w:id="1804545296">
          <w:marLeft w:val="0"/>
          <w:marRight w:val="0"/>
          <w:marTop w:val="0"/>
          <w:marBottom w:val="0"/>
          <w:divBdr>
            <w:top w:val="none" w:sz="0" w:space="0" w:color="auto"/>
            <w:left w:val="none" w:sz="0" w:space="0" w:color="auto"/>
            <w:bottom w:val="none" w:sz="0" w:space="0" w:color="auto"/>
            <w:right w:val="none" w:sz="0" w:space="0" w:color="auto"/>
          </w:divBdr>
          <w:divsChild>
            <w:div w:id="1520242111">
              <w:marLeft w:val="0"/>
              <w:marRight w:val="0"/>
              <w:marTop w:val="0"/>
              <w:marBottom w:val="0"/>
              <w:divBdr>
                <w:top w:val="none" w:sz="0" w:space="0" w:color="auto"/>
                <w:left w:val="none" w:sz="0" w:space="0" w:color="auto"/>
                <w:bottom w:val="none" w:sz="0" w:space="0" w:color="auto"/>
                <w:right w:val="none" w:sz="0" w:space="0" w:color="auto"/>
              </w:divBdr>
              <w:divsChild>
                <w:div w:id="1383289526">
                  <w:marLeft w:val="0"/>
                  <w:marRight w:val="0"/>
                  <w:marTop w:val="0"/>
                  <w:marBottom w:val="0"/>
                  <w:divBdr>
                    <w:top w:val="none" w:sz="0" w:space="0" w:color="auto"/>
                    <w:left w:val="none" w:sz="0" w:space="0" w:color="auto"/>
                    <w:bottom w:val="none" w:sz="0" w:space="0" w:color="auto"/>
                    <w:right w:val="none" w:sz="0" w:space="0" w:color="auto"/>
                  </w:divBdr>
                </w:div>
                <w:div w:id="910702851">
                  <w:marLeft w:val="0"/>
                  <w:marRight w:val="0"/>
                  <w:marTop w:val="0"/>
                  <w:marBottom w:val="0"/>
                  <w:divBdr>
                    <w:top w:val="none" w:sz="0" w:space="0" w:color="auto"/>
                    <w:left w:val="none" w:sz="0" w:space="0" w:color="auto"/>
                    <w:bottom w:val="none" w:sz="0" w:space="0" w:color="auto"/>
                    <w:right w:val="none" w:sz="0" w:space="0" w:color="auto"/>
                  </w:divBdr>
                </w:div>
                <w:div w:id="875770856">
                  <w:marLeft w:val="0"/>
                  <w:marRight w:val="0"/>
                  <w:marTop w:val="0"/>
                  <w:marBottom w:val="0"/>
                  <w:divBdr>
                    <w:top w:val="none" w:sz="0" w:space="0" w:color="auto"/>
                    <w:left w:val="none" w:sz="0" w:space="0" w:color="auto"/>
                    <w:bottom w:val="none" w:sz="0" w:space="0" w:color="auto"/>
                    <w:right w:val="none" w:sz="0" w:space="0" w:color="auto"/>
                  </w:divBdr>
                </w:div>
                <w:div w:id="1353452417">
                  <w:marLeft w:val="0"/>
                  <w:marRight w:val="0"/>
                  <w:marTop w:val="0"/>
                  <w:marBottom w:val="0"/>
                  <w:divBdr>
                    <w:top w:val="none" w:sz="0" w:space="0" w:color="auto"/>
                    <w:left w:val="none" w:sz="0" w:space="0" w:color="auto"/>
                    <w:bottom w:val="none" w:sz="0" w:space="0" w:color="auto"/>
                    <w:right w:val="none" w:sz="0" w:space="0" w:color="auto"/>
                  </w:divBdr>
                </w:div>
                <w:div w:id="1515538469">
                  <w:marLeft w:val="0"/>
                  <w:marRight w:val="0"/>
                  <w:marTop w:val="0"/>
                  <w:marBottom w:val="0"/>
                  <w:divBdr>
                    <w:top w:val="none" w:sz="0" w:space="0" w:color="auto"/>
                    <w:left w:val="none" w:sz="0" w:space="0" w:color="auto"/>
                    <w:bottom w:val="none" w:sz="0" w:space="0" w:color="auto"/>
                    <w:right w:val="none" w:sz="0" w:space="0" w:color="auto"/>
                  </w:divBdr>
                </w:div>
                <w:div w:id="1450709279">
                  <w:marLeft w:val="0"/>
                  <w:marRight w:val="0"/>
                  <w:marTop w:val="0"/>
                  <w:marBottom w:val="0"/>
                  <w:divBdr>
                    <w:top w:val="none" w:sz="0" w:space="0" w:color="auto"/>
                    <w:left w:val="none" w:sz="0" w:space="0" w:color="auto"/>
                    <w:bottom w:val="none" w:sz="0" w:space="0" w:color="auto"/>
                    <w:right w:val="none" w:sz="0" w:space="0" w:color="auto"/>
                  </w:divBdr>
                </w:div>
                <w:div w:id="1373532826">
                  <w:marLeft w:val="0"/>
                  <w:marRight w:val="0"/>
                  <w:marTop w:val="0"/>
                  <w:marBottom w:val="0"/>
                  <w:divBdr>
                    <w:top w:val="none" w:sz="0" w:space="0" w:color="auto"/>
                    <w:left w:val="none" w:sz="0" w:space="0" w:color="auto"/>
                    <w:bottom w:val="none" w:sz="0" w:space="0" w:color="auto"/>
                    <w:right w:val="none" w:sz="0" w:space="0" w:color="auto"/>
                  </w:divBdr>
                </w:div>
                <w:div w:id="661154428">
                  <w:marLeft w:val="0"/>
                  <w:marRight w:val="0"/>
                  <w:marTop w:val="0"/>
                  <w:marBottom w:val="0"/>
                  <w:divBdr>
                    <w:top w:val="none" w:sz="0" w:space="0" w:color="auto"/>
                    <w:left w:val="none" w:sz="0" w:space="0" w:color="auto"/>
                    <w:bottom w:val="none" w:sz="0" w:space="0" w:color="auto"/>
                    <w:right w:val="none" w:sz="0" w:space="0" w:color="auto"/>
                  </w:divBdr>
                </w:div>
                <w:div w:id="1449160522">
                  <w:marLeft w:val="0"/>
                  <w:marRight w:val="0"/>
                  <w:marTop w:val="0"/>
                  <w:marBottom w:val="0"/>
                  <w:divBdr>
                    <w:top w:val="none" w:sz="0" w:space="0" w:color="auto"/>
                    <w:left w:val="none" w:sz="0" w:space="0" w:color="auto"/>
                    <w:bottom w:val="none" w:sz="0" w:space="0" w:color="auto"/>
                    <w:right w:val="none" w:sz="0" w:space="0" w:color="auto"/>
                  </w:divBdr>
                </w:div>
                <w:div w:id="5640150">
                  <w:marLeft w:val="0"/>
                  <w:marRight w:val="0"/>
                  <w:marTop w:val="0"/>
                  <w:marBottom w:val="0"/>
                  <w:divBdr>
                    <w:top w:val="none" w:sz="0" w:space="0" w:color="auto"/>
                    <w:left w:val="none" w:sz="0" w:space="0" w:color="auto"/>
                    <w:bottom w:val="none" w:sz="0" w:space="0" w:color="auto"/>
                    <w:right w:val="none" w:sz="0" w:space="0" w:color="auto"/>
                  </w:divBdr>
                </w:div>
                <w:div w:id="337192340">
                  <w:marLeft w:val="0"/>
                  <w:marRight w:val="0"/>
                  <w:marTop w:val="0"/>
                  <w:marBottom w:val="0"/>
                  <w:divBdr>
                    <w:top w:val="none" w:sz="0" w:space="0" w:color="auto"/>
                    <w:left w:val="none" w:sz="0" w:space="0" w:color="auto"/>
                    <w:bottom w:val="none" w:sz="0" w:space="0" w:color="auto"/>
                    <w:right w:val="none" w:sz="0" w:space="0" w:color="auto"/>
                  </w:divBdr>
                </w:div>
                <w:div w:id="1027220691">
                  <w:marLeft w:val="0"/>
                  <w:marRight w:val="0"/>
                  <w:marTop w:val="0"/>
                  <w:marBottom w:val="0"/>
                  <w:divBdr>
                    <w:top w:val="none" w:sz="0" w:space="0" w:color="auto"/>
                    <w:left w:val="none" w:sz="0" w:space="0" w:color="auto"/>
                    <w:bottom w:val="none" w:sz="0" w:space="0" w:color="auto"/>
                    <w:right w:val="none" w:sz="0" w:space="0" w:color="auto"/>
                  </w:divBdr>
                </w:div>
                <w:div w:id="1113204134">
                  <w:marLeft w:val="0"/>
                  <w:marRight w:val="0"/>
                  <w:marTop w:val="0"/>
                  <w:marBottom w:val="0"/>
                  <w:divBdr>
                    <w:top w:val="none" w:sz="0" w:space="0" w:color="auto"/>
                    <w:left w:val="none" w:sz="0" w:space="0" w:color="auto"/>
                    <w:bottom w:val="none" w:sz="0" w:space="0" w:color="auto"/>
                    <w:right w:val="none" w:sz="0" w:space="0" w:color="auto"/>
                  </w:divBdr>
                </w:div>
                <w:div w:id="1389837416">
                  <w:marLeft w:val="0"/>
                  <w:marRight w:val="0"/>
                  <w:marTop w:val="0"/>
                  <w:marBottom w:val="0"/>
                  <w:divBdr>
                    <w:top w:val="none" w:sz="0" w:space="0" w:color="auto"/>
                    <w:left w:val="none" w:sz="0" w:space="0" w:color="auto"/>
                    <w:bottom w:val="none" w:sz="0" w:space="0" w:color="auto"/>
                    <w:right w:val="none" w:sz="0" w:space="0" w:color="auto"/>
                  </w:divBdr>
                </w:div>
                <w:div w:id="1777405658">
                  <w:marLeft w:val="0"/>
                  <w:marRight w:val="0"/>
                  <w:marTop w:val="0"/>
                  <w:marBottom w:val="0"/>
                  <w:divBdr>
                    <w:top w:val="none" w:sz="0" w:space="0" w:color="auto"/>
                    <w:left w:val="none" w:sz="0" w:space="0" w:color="auto"/>
                    <w:bottom w:val="none" w:sz="0" w:space="0" w:color="auto"/>
                    <w:right w:val="none" w:sz="0" w:space="0" w:color="auto"/>
                  </w:divBdr>
                </w:div>
                <w:div w:id="1526014869">
                  <w:marLeft w:val="0"/>
                  <w:marRight w:val="0"/>
                  <w:marTop w:val="0"/>
                  <w:marBottom w:val="0"/>
                  <w:divBdr>
                    <w:top w:val="none" w:sz="0" w:space="0" w:color="auto"/>
                    <w:left w:val="none" w:sz="0" w:space="0" w:color="auto"/>
                    <w:bottom w:val="none" w:sz="0" w:space="0" w:color="auto"/>
                    <w:right w:val="none" w:sz="0" w:space="0" w:color="auto"/>
                  </w:divBdr>
                </w:div>
                <w:div w:id="574821314">
                  <w:marLeft w:val="0"/>
                  <w:marRight w:val="0"/>
                  <w:marTop w:val="0"/>
                  <w:marBottom w:val="0"/>
                  <w:divBdr>
                    <w:top w:val="none" w:sz="0" w:space="0" w:color="auto"/>
                    <w:left w:val="none" w:sz="0" w:space="0" w:color="auto"/>
                    <w:bottom w:val="none" w:sz="0" w:space="0" w:color="auto"/>
                    <w:right w:val="none" w:sz="0" w:space="0" w:color="auto"/>
                  </w:divBdr>
                </w:div>
                <w:div w:id="180169495">
                  <w:marLeft w:val="0"/>
                  <w:marRight w:val="0"/>
                  <w:marTop w:val="0"/>
                  <w:marBottom w:val="0"/>
                  <w:divBdr>
                    <w:top w:val="none" w:sz="0" w:space="0" w:color="auto"/>
                    <w:left w:val="none" w:sz="0" w:space="0" w:color="auto"/>
                    <w:bottom w:val="none" w:sz="0" w:space="0" w:color="auto"/>
                    <w:right w:val="none" w:sz="0" w:space="0" w:color="auto"/>
                  </w:divBdr>
                </w:div>
                <w:div w:id="326909133">
                  <w:marLeft w:val="0"/>
                  <w:marRight w:val="0"/>
                  <w:marTop w:val="0"/>
                  <w:marBottom w:val="0"/>
                  <w:divBdr>
                    <w:top w:val="none" w:sz="0" w:space="0" w:color="auto"/>
                    <w:left w:val="none" w:sz="0" w:space="0" w:color="auto"/>
                    <w:bottom w:val="none" w:sz="0" w:space="0" w:color="auto"/>
                    <w:right w:val="none" w:sz="0" w:space="0" w:color="auto"/>
                  </w:divBdr>
                </w:div>
                <w:div w:id="620067736">
                  <w:marLeft w:val="0"/>
                  <w:marRight w:val="0"/>
                  <w:marTop w:val="0"/>
                  <w:marBottom w:val="0"/>
                  <w:divBdr>
                    <w:top w:val="none" w:sz="0" w:space="0" w:color="auto"/>
                    <w:left w:val="none" w:sz="0" w:space="0" w:color="auto"/>
                    <w:bottom w:val="none" w:sz="0" w:space="0" w:color="auto"/>
                    <w:right w:val="none" w:sz="0" w:space="0" w:color="auto"/>
                  </w:divBdr>
                </w:div>
                <w:div w:id="874854098">
                  <w:marLeft w:val="0"/>
                  <w:marRight w:val="0"/>
                  <w:marTop w:val="0"/>
                  <w:marBottom w:val="0"/>
                  <w:divBdr>
                    <w:top w:val="none" w:sz="0" w:space="0" w:color="auto"/>
                    <w:left w:val="none" w:sz="0" w:space="0" w:color="auto"/>
                    <w:bottom w:val="none" w:sz="0" w:space="0" w:color="auto"/>
                    <w:right w:val="none" w:sz="0" w:space="0" w:color="auto"/>
                  </w:divBdr>
                </w:div>
                <w:div w:id="703821766">
                  <w:marLeft w:val="0"/>
                  <w:marRight w:val="0"/>
                  <w:marTop w:val="0"/>
                  <w:marBottom w:val="0"/>
                  <w:divBdr>
                    <w:top w:val="none" w:sz="0" w:space="0" w:color="auto"/>
                    <w:left w:val="none" w:sz="0" w:space="0" w:color="auto"/>
                    <w:bottom w:val="none" w:sz="0" w:space="0" w:color="auto"/>
                    <w:right w:val="none" w:sz="0" w:space="0" w:color="auto"/>
                  </w:divBdr>
                </w:div>
                <w:div w:id="172300415">
                  <w:marLeft w:val="0"/>
                  <w:marRight w:val="0"/>
                  <w:marTop w:val="0"/>
                  <w:marBottom w:val="0"/>
                  <w:divBdr>
                    <w:top w:val="none" w:sz="0" w:space="0" w:color="auto"/>
                    <w:left w:val="none" w:sz="0" w:space="0" w:color="auto"/>
                    <w:bottom w:val="none" w:sz="0" w:space="0" w:color="auto"/>
                    <w:right w:val="none" w:sz="0" w:space="0" w:color="auto"/>
                  </w:divBdr>
                </w:div>
                <w:div w:id="1033573758">
                  <w:marLeft w:val="0"/>
                  <w:marRight w:val="0"/>
                  <w:marTop w:val="0"/>
                  <w:marBottom w:val="0"/>
                  <w:divBdr>
                    <w:top w:val="none" w:sz="0" w:space="0" w:color="auto"/>
                    <w:left w:val="none" w:sz="0" w:space="0" w:color="auto"/>
                    <w:bottom w:val="none" w:sz="0" w:space="0" w:color="auto"/>
                    <w:right w:val="none" w:sz="0" w:space="0" w:color="auto"/>
                  </w:divBdr>
                </w:div>
                <w:div w:id="281310382">
                  <w:marLeft w:val="0"/>
                  <w:marRight w:val="0"/>
                  <w:marTop w:val="0"/>
                  <w:marBottom w:val="0"/>
                  <w:divBdr>
                    <w:top w:val="none" w:sz="0" w:space="0" w:color="auto"/>
                    <w:left w:val="none" w:sz="0" w:space="0" w:color="auto"/>
                    <w:bottom w:val="none" w:sz="0" w:space="0" w:color="auto"/>
                    <w:right w:val="none" w:sz="0" w:space="0" w:color="auto"/>
                  </w:divBdr>
                </w:div>
                <w:div w:id="1754205542">
                  <w:marLeft w:val="0"/>
                  <w:marRight w:val="0"/>
                  <w:marTop w:val="0"/>
                  <w:marBottom w:val="0"/>
                  <w:divBdr>
                    <w:top w:val="none" w:sz="0" w:space="0" w:color="auto"/>
                    <w:left w:val="none" w:sz="0" w:space="0" w:color="auto"/>
                    <w:bottom w:val="none" w:sz="0" w:space="0" w:color="auto"/>
                    <w:right w:val="none" w:sz="0" w:space="0" w:color="auto"/>
                  </w:divBdr>
                </w:div>
                <w:div w:id="192156150">
                  <w:marLeft w:val="0"/>
                  <w:marRight w:val="0"/>
                  <w:marTop w:val="0"/>
                  <w:marBottom w:val="0"/>
                  <w:divBdr>
                    <w:top w:val="none" w:sz="0" w:space="0" w:color="auto"/>
                    <w:left w:val="none" w:sz="0" w:space="0" w:color="auto"/>
                    <w:bottom w:val="none" w:sz="0" w:space="0" w:color="auto"/>
                    <w:right w:val="none" w:sz="0" w:space="0" w:color="auto"/>
                  </w:divBdr>
                </w:div>
                <w:div w:id="326133142">
                  <w:marLeft w:val="0"/>
                  <w:marRight w:val="0"/>
                  <w:marTop w:val="0"/>
                  <w:marBottom w:val="0"/>
                  <w:divBdr>
                    <w:top w:val="none" w:sz="0" w:space="0" w:color="auto"/>
                    <w:left w:val="none" w:sz="0" w:space="0" w:color="auto"/>
                    <w:bottom w:val="none" w:sz="0" w:space="0" w:color="auto"/>
                    <w:right w:val="none" w:sz="0" w:space="0" w:color="auto"/>
                  </w:divBdr>
                </w:div>
                <w:div w:id="1206942546">
                  <w:marLeft w:val="0"/>
                  <w:marRight w:val="0"/>
                  <w:marTop w:val="0"/>
                  <w:marBottom w:val="0"/>
                  <w:divBdr>
                    <w:top w:val="none" w:sz="0" w:space="0" w:color="auto"/>
                    <w:left w:val="none" w:sz="0" w:space="0" w:color="auto"/>
                    <w:bottom w:val="none" w:sz="0" w:space="0" w:color="auto"/>
                    <w:right w:val="none" w:sz="0" w:space="0" w:color="auto"/>
                  </w:divBdr>
                </w:div>
                <w:div w:id="785932230">
                  <w:marLeft w:val="0"/>
                  <w:marRight w:val="0"/>
                  <w:marTop w:val="0"/>
                  <w:marBottom w:val="0"/>
                  <w:divBdr>
                    <w:top w:val="none" w:sz="0" w:space="0" w:color="auto"/>
                    <w:left w:val="none" w:sz="0" w:space="0" w:color="auto"/>
                    <w:bottom w:val="none" w:sz="0" w:space="0" w:color="auto"/>
                    <w:right w:val="none" w:sz="0" w:space="0" w:color="auto"/>
                  </w:divBdr>
                </w:div>
                <w:div w:id="1248418482">
                  <w:marLeft w:val="0"/>
                  <w:marRight w:val="0"/>
                  <w:marTop w:val="0"/>
                  <w:marBottom w:val="0"/>
                  <w:divBdr>
                    <w:top w:val="none" w:sz="0" w:space="0" w:color="auto"/>
                    <w:left w:val="none" w:sz="0" w:space="0" w:color="auto"/>
                    <w:bottom w:val="none" w:sz="0" w:space="0" w:color="auto"/>
                    <w:right w:val="none" w:sz="0" w:space="0" w:color="auto"/>
                  </w:divBdr>
                </w:div>
                <w:div w:id="133446146">
                  <w:marLeft w:val="0"/>
                  <w:marRight w:val="0"/>
                  <w:marTop w:val="0"/>
                  <w:marBottom w:val="0"/>
                  <w:divBdr>
                    <w:top w:val="none" w:sz="0" w:space="0" w:color="auto"/>
                    <w:left w:val="none" w:sz="0" w:space="0" w:color="auto"/>
                    <w:bottom w:val="none" w:sz="0" w:space="0" w:color="auto"/>
                    <w:right w:val="none" w:sz="0" w:space="0" w:color="auto"/>
                  </w:divBdr>
                </w:div>
                <w:div w:id="2098205662">
                  <w:marLeft w:val="0"/>
                  <w:marRight w:val="0"/>
                  <w:marTop w:val="0"/>
                  <w:marBottom w:val="0"/>
                  <w:divBdr>
                    <w:top w:val="none" w:sz="0" w:space="0" w:color="auto"/>
                    <w:left w:val="none" w:sz="0" w:space="0" w:color="auto"/>
                    <w:bottom w:val="none" w:sz="0" w:space="0" w:color="auto"/>
                    <w:right w:val="none" w:sz="0" w:space="0" w:color="auto"/>
                  </w:divBdr>
                </w:div>
                <w:div w:id="1048381144">
                  <w:marLeft w:val="0"/>
                  <w:marRight w:val="0"/>
                  <w:marTop w:val="0"/>
                  <w:marBottom w:val="0"/>
                  <w:divBdr>
                    <w:top w:val="none" w:sz="0" w:space="0" w:color="auto"/>
                    <w:left w:val="none" w:sz="0" w:space="0" w:color="auto"/>
                    <w:bottom w:val="none" w:sz="0" w:space="0" w:color="auto"/>
                    <w:right w:val="none" w:sz="0" w:space="0" w:color="auto"/>
                  </w:divBdr>
                </w:div>
                <w:div w:id="661852871">
                  <w:marLeft w:val="0"/>
                  <w:marRight w:val="0"/>
                  <w:marTop w:val="0"/>
                  <w:marBottom w:val="0"/>
                  <w:divBdr>
                    <w:top w:val="none" w:sz="0" w:space="0" w:color="auto"/>
                    <w:left w:val="none" w:sz="0" w:space="0" w:color="auto"/>
                    <w:bottom w:val="none" w:sz="0" w:space="0" w:color="auto"/>
                    <w:right w:val="none" w:sz="0" w:space="0" w:color="auto"/>
                  </w:divBdr>
                </w:div>
                <w:div w:id="1949580096">
                  <w:marLeft w:val="0"/>
                  <w:marRight w:val="0"/>
                  <w:marTop w:val="0"/>
                  <w:marBottom w:val="0"/>
                  <w:divBdr>
                    <w:top w:val="none" w:sz="0" w:space="0" w:color="auto"/>
                    <w:left w:val="none" w:sz="0" w:space="0" w:color="auto"/>
                    <w:bottom w:val="none" w:sz="0" w:space="0" w:color="auto"/>
                    <w:right w:val="none" w:sz="0" w:space="0" w:color="auto"/>
                  </w:divBdr>
                </w:div>
                <w:div w:id="458693293">
                  <w:marLeft w:val="0"/>
                  <w:marRight w:val="0"/>
                  <w:marTop w:val="0"/>
                  <w:marBottom w:val="0"/>
                  <w:divBdr>
                    <w:top w:val="none" w:sz="0" w:space="0" w:color="auto"/>
                    <w:left w:val="none" w:sz="0" w:space="0" w:color="auto"/>
                    <w:bottom w:val="none" w:sz="0" w:space="0" w:color="auto"/>
                    <w:right w:val="none" w:sz="0" w:space="0" w:color="auto"/>
                  </w:divBdr>
                </w:div>
                <w:div w:id="1547136885">
                  <w:marLeft w:val="0"/>
                  <w:marRight w:val="0"/>
                  <w:marTop w:val="0"/>
                  <w:marBottom w:val="0"/>
                  <w:divBdr>
                    <w:top w:val="none" w:sz="0" w:space="0" w:color="auto"/>
                    <w:left w:val="none" w:sz="0" w:space="0" w:color="auto"/>
                    <w:bottom w:val="none" w:sz="0" w:space="0" w:color="auto"/>
                    <w:right w:val="none" w:sz="0" w:space="0" w:color="auto"/>
                  </w:divBdr>
                </w:div>
                <w:div w:id="351498996">
                  <w:marLeft w:val="0"/>
                  <w:marRight w:val="0"/>
                  <w:marTop w:val="0"/>
                  <w:marBottom w:val="0"/>
                  <w:divBdr>
                    <w:top w:val="none" w:sz="0" w:space="0" w:color="auto"/>
                    <w:left w:val="none" w:sz="0" w:space="0" w:color="auto"/>
                    <w:bottom w:val="none" w:sz="0" w:space="0" w:color="auto"/>
                    <w:right w:val="none" w:sz="0" w:space="0" w:color="auto"/>
                  </w:divBdr>
                </w:div>
                <w:div w:id="859970597">
                  <w:marLeft w:val="0"/>
                  <w:marRight w:val="0"/>
                  <w:marTop w:val="0"/>
                  <w:marBottom w:val="0"/>
                  <w:divBdr>
                    <w:top w:val="none" w:sz="0" w:space="0" w:color="auto"/>
                    <w:left w:val="none" w:sz="0" w:space="0" w:color="auto"/>
                    <w:bottom w:val="none" w:sz="0" w:space="0" w:color="auto"/>
                    <w:right w:val="none" w:sz="0" w:space="0" w:color="auto"/>
                  </w:divBdr>
                </w:div>
                <w:div w:id="1181159011">
                  <w:marLeft w:val="0"/>
                  <w:marRight w:val="0"/>
                  <w:marTop w:val="0"/>
                  <w:marBottom w:val="0"/>
                  <w:divBdr>
                    <w:top w:val="none" w:sz="0" w:space="0" w:color="auto"/>
                    <w:left w:val="none" w:sz="0" w:space="0" w:color="auto"/>
                    <w:bottom w:val="none" w:sz="0" w:space="0" w:color="auto"/>
                    <w:right w:val="none" w:sz="0" w:space="0" w:color="auto"/>
                  </w:divBdr>
                </w:div>
                <w:div w:id="1755007562">
                  <w:marLeft w:val="0"/>
                  <w:marRight w:val="0"/>
                  <w:marTop w:val="0"/>
                  <w:marBottom w:val="0"/>
                  <w:divBdr>
                    <w:top w:val="none" w:sz="0" w:space="0" w:color="auto"/>
                    <w:left w:val="none" w:sz="0" w:space="0" w:color="auto"/>
                    <w:bottom w:val="none" w:sz="0" w:space="0" w:color="auto"/>
                    <w:right w:val="none" w:sz="0" w:space="0" w:color="auto"/>
                  </w:divBdr>
                </w:div>
                <w:div w:id="1263420134">
                  <w:marLeft w:val="0"/>
                  <w:marRight w:val="0"/>
                  <w:marTop w:val="0"/>
                  <w:marBottom w:val="0"/>
                  <w:divBdr>
                    <w:top w:val="none" w:sz="0" w:space="0" w:color="auto"/>
                    <w:left w:val="none" w:sz="0" w:space="0" w:color="auto"/>
                    <w:bottom w:val="none" w:sz="0" w:space="0" w:color="auto"/>
                    <w:right w:val="none" w:sz="0" w:space="0" w:color="auto"/>
                  </w:divBdr>
                </w:div>
                <w:div w:id="328875824">
                  <w:marLeft w:val="0"/>
                  <w:marRight w:val="0"/>
                  <w:marTop w:val="0"/>
                  <w:marBottom w:val="0"/>
                  <w:divBdr>
                    <w:top w:val="none" w:sz="0" w:space="0" w:color="auto"/>
                    <w:left w:val="none" w:sz="0" w:space="0" w:color="auto"/>
                    <w:bottom w:val="none" w:sz="0" w:space="0" w:color="auto"/>
                    <w:right w:val="none" w:sz="0" w:space="0" w:color="auto"/>
                  </w:divBdr>
                </w:div>
                <w:div w:id="717585828">
                  <w:marLeft w:val="0"/>
                  <w:marRight w:val="0"/>
                  <w:marTop w:val="0"/>
                  <w:marBottom w:val="0"/>
                  <w:divBdr>
                    <w:top w:val="none" w:sz="0" w:space="0" w:color="auto"/>
                    <w:left w:val="none" w:sz="0" w:space="0" w:color="auto"/>
                    <w:bottom w:val="none" w:sz="0" w:space="0" w:color="auto"/>
                    <w:right w:val="none" w:sz="0" w:space="0" w:color="auto"/>
                  </w:divBdr>
                </w:div>
                <w:div w:id="733890332">
                  <w:marLeft w:val="0"/>
                  <w:marRight w:val="0"/>
                  <w:marTop w:val="0"/>
                  <w:marBottom w:val="0"/>
                  <w:divBdr>
                    <w:top w:val="none" w:sz="0" w:space="0" w:color="auto"/>
                    <w:left w:val="none" w:sz="0" w:space="0" w:color="auto"/>
                    <w:bottom w:val="none" w:sz="0" w:space="0" w:color="auto"/>
                    <w:right w:val="none" w:sz="0" w:space="0" w:color="auto"/>
                  </w:divBdr>
                </w:div>
                <w:div w:id="687298034">
                  <w:marLeft w:val="0"/>
                  <w:marRight w:val="0"/>
                  <w:marTop w:val="0"/>
                  <w:marBottom w:val="0"/>
                  <w:divBdr>
                    <w:top w:val="none" w:sz="0" w:space="0" w:color="auto"/>
                    <w:left w:val="none" w:sz="0" w:space="0" w:color="auto"/>
                    <w:bottom w:val="none" w:sz="0" w:space="0" w:color="auto"/>
                    <w:right w:val="none" w:sz="0" w:space="0" w:color="auto"/>
                  </w:divBdr>
                </w:div>
                <w:div w:id="2091192476">
                  <w:marLeft w:val="0"/>
                  <w:marRight w:val="0"/>
                  <w:marTop w:val="0"/>
                  <w:marBottom w:val="0"/>
                  <w:divBdr>
                    <w:top w:val="none" w:sz="0" w:space="0" w:color="auto"/>
                    <w:left w:val="none" w:sz="0" w:space="0" w:color="auto"/>
                    <w:bottom w:val="none" w:sz="0" w:space="0" w:color="auto"/>
                    <w:right w:val="none" w:sz="0" w:space="0" w:color="auto"/>
                  </w:divBdr>
                </w:div>
                <w:div w:id="731662283">
                  <w:marLeft w:val="0"/>
                  <w:marRight w:val="0"/>
                  <w:marTop w:val="0"/>
                  <w:marBottom w:val="0"/>
                  <w:divBdr>
                    <w:top w:val="none" w:sz="0" w:space="0" w:color="auto"/>
                    <w:left w:val="none" w:sz="0" w:space="0" w:color="auto"/>
                    <w:bottom w:val="none" w:sz="0" w:space="0" w:color="auto"/>
                    <w:right w:val="none" w:sz="0" w:space="0" w:color="auto"/>
                  </w:divBdr>
                </w:div>
                <w:div w:id="1689256685">
                  <w:marLeft w:val="0"/>
                  <w:marRight w:val="0"/>
                  <w:marTop w:val="0"/>
                  <w:marBottom w:val="0"/>
                  <w:divBdr>
                    <w:top w:val="none" w:sz="0" w:space="0" w:color="auto"/>
                    <w:left w:val="none" w:sz="0" w:space="0" w:color="auto"/>
                    <w:bottom w:val="none" w:sz="0" w:space="0" w:color="auto"/>
                    <w:right w:val="none" w:sz="0" w:space="0" w:color="auto"/>
                  </w:divBdr>
                </w:div>
                <w:div w:id="1246457094">
                  <w:marLeft w:val="0"/>
                  <w:marRight w:val="0"/>
                  <w:marTop w:val="0"/>
                  <w:marBottom w:val="0"/>
                  <w:divBdr>
                    <w:top w:val="none" w:sz="0" w:space="0" w:color="auto"/>
                    <w:left w:val="none" w:sz="0" w:space="0" w:color="auto"/>
                    <w:bottom w:val="none" w:sz="0" w:space="0" w:color="auto"/>
                    <w:right w:val="none" w:sz="0" w:space="0" w:color="auto"/>
                  </w:divBdr>
                </w:div>
                <w:div w:id="62720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11</Pages>
  <Words>2150</Words>
  <Characters>12259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Mitra Nazhd Taghavian</dc:creator>
  <cp:keywords/>
  <dc:description/>
  <cp:lastModifiedBy>Mitra Nazhd Taghavian</cp:lastModifiedBy>
  <cp:revision>6</cp:revision>
  <dcterms:created xsi:type="dcterms:W3CDTF">2019-01-22T12:32:00Z</dcterms:created>
  <dcterms:modified xsi:type="dcterms:W3CDTF">2020-04-14T10:48:00Z</dcterms:modified>
</cp:coreProperties>
</file>